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小标宋简体" w:hAnsi="方正小标宋简体" w:eastAsia="方正小标宋简体" w:cs="方正小标宋简体"/>
          <w:i w:val="0"/>
          <w:color w:val="000000"/>
          <w:spacing w:val="-6"/>
          <w:w w:val="95"/>
          <w:sz w:val="36"/>
          <w:szCs w:val="36"/>
          <w:u w:val="none"/>
          <w:lang w:eastAsia="zh-CN"/>
        </w:rPr>
      </w:pPr>
      <w:bookmarkStart w:id="0" w:name="OLE_LINK4"/>
      <w:r>
        <w:rPr>
          <w:rFonts w:hint="eastAsia" w:ascii="方正小标宋简体" w:hAnsi="方正小标宋简体" w:eastAsia="方正小标宋简体" w:cs="方正小标宋简体"/>
          <w:sz w:val="36"/>
          <w:szCs w:val="36"/>
          <w:lang w:val="en-US" w:eastAsia="zh-CN"/>
        </w:rPr>
        <w:t>唐山高新技术产业开发区街道办事处行政执法</w:t>
      </w:r>
      <w:bookmarkStart w:id="5" w:name="_GoBack"/>
      <w:bookmarkEnd w:id="5"/>
      <w:r>
        <w:rPr>
          <w:rFonts w:hint="eastAsia" w:ascii="方正小标宋简体" w:hAnsi="方正小标宋简体" w:eastAsia="方正小标宋简体" w:cs="方正小标宋简体"/>
          <w:sz w:val="36"/>
          <w:szCs w:val="36"/>
          <w:lang w:val="en-US" w:eastAsia="zh-CN"/>
        </w:rPr>
        <w:t>事项清单</w:t>
      </w:r>
    </w:p>
    <w:bookmarkEnd w:id="0"/>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p>
    <w:tbl>
      <w:tblPr>
        <w:tblStyle w:val="9"/>
        <w:tblW w:w="91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73"/>
        <w:gridCol w:w="1125"/>
        <w:gridCol w:w="3478"/>
        <w:gridCol w:w="2609"/>
        <w:gridCol w:w="1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ascii="黑体" w:hAnsi="宋体" w:eastAsia="黑体" w:cs="黑体"/>
                <w:i w:val="0"/>
                <w:color w:val="000000"/>
                <w:sz w:val="22"/>
                <w:szCs w:val="22"/>
                <w:u w:val="none"/>
              </w:rPr>
            </w:pPr>
            <w:r>
              <w:rPr>
                <w:rFonts w:hint="eastAsia" w:ascii="黑体" w:hAnsi="宋体" w:eastAsia="黑体" w:cs="黑体"/>
                <w:i w:val="0"/>
                <w:color w:val="000000"/>
                <w:spacing w:val="-6"/>
                <w:kern w:val="0"/>
                <w:sz w:val="22"/>
                <w:szCs w:val="22"/>
                <w:u w:val="none"/>
                <w:lang w:val="en-US" w:eastAsia="zh-CN" w:bidi="ar"/>
              </w:rPr>
              <w:t>序号</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spacing w:val="-6"/>
                <w:kern w:val="0"/>
                <w:sz w:val="22"/>
                <w:szCs w:val="22"/>
                <w:u w:val="none"/>
                <w:lang w:val="en-US" w:eastAsia="zh-CN" w:bidi="ar"/>
              </w:rPr>
              <w:t>领域类别</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spacing w:val="-6"/>
                <w:kern w:val="0"/>
                <w:sz w:val="22"/>
                <w:szCs w:val="22"/>
                <w:u w:val="none"/>
                <w:lang w:val="en-US" w:eastAsia="zh-CN" w:bidi="ar"/>
              </w:rPr>
              <w:t>事项名称</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spacing w:val="-6"/>
                <w:kern w:val="0"/>
                <w:sz w:val="22"/>
                <w:szCs w:val="22"/>
                <w:u w:val="none"/>
                <w:lang w:val="en-US" w:eastAsia="zh-CN" w:bidi="ar"/>
              </w:rPr>
              <w:t>设定依据</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color w:val="000000"/>
                <w:spacing w:val="-6"/>
                <w:kern w:val="0"/>
                <w:sz w:val="22"/>
                <w:szCs w:val="22"/>
                <w:u w:val="none"/>
                <w:lang w:val="en-US" w:eastAsia="zh-CN" w:bidi="ar"/>
              </w:rPr>
            </w:pPr>
            <w:r>
              <w:rPr>
                <w:rFonts w:hint="eastAsia" w:ascii="黑体" w:hAnsi="宋体" w:eastAsia="黑体" w:cs="黑体"/>
                <w:i w:val="0"/>
                <w:color w:val="000000"/>
                <w:spacing w:val="-6"/>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08"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1</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bookmarkStart w:id="1" w:name="OLE_LINK10"/>
            <w:bookmarkStart w:id="2" w:name="OLE_LINK9"/>
            <w:r>
              <w:rPr>
                <w:rFonts w:hint="eastAsia" w:ascii="仿宋_GB2312" w:hAnsi="仿宋_GB2312" w:eastAsia="仿宋_GB2312" w:cs="仿宋_GB2312"/>
                <w:i w:val="0"/>
                <w:color w:val="000000"/>
                <w:spacing w:val="-6"/>
                <w:kern w:val="0"/>
                <w:sz w:val="22"/>
                <w:szCs w:val="22"/>
                <w:u w:val="none"/>
                <w:lang w:val="en-US" w:eastAsia="zh-CN" w:bidi="ar"/>
              </w:rPr>
              <w:t>对栽培、整修</w:t>
            </w:r>
            <w:bookmarkEnd w:id="1"/>
            <w:r>
              <w:rPr>
                <w:rFonts w:hint="eastAsia" w:ascii="仿宋_GB2312" w:hAnsi="仿宋_GB2312" w:eastAsia="仿宋_GB2312" w:cs="仿宋_GB2312"/>
                <w:i w:val="0"/>
                <w:color w:val="000000"/>
                <w:spacing w:val="-6"/>
                <w:kern w:val="0"/>
                <w:sz w:val="22"/>
                <w:szCs w:val="22"/>
                <w:u w:val="none"/>
                <w:lang w:val="en-US" w:eastAsia="zh-CN" w:bidi="ar"/>
              </w:rPr>
              <w:t>或者其他作业遗留的渣土、枝叶等杂物，临街树木、绿篱、花坛（池）、草坪等管理单位或者个人逾期未清除的行政处罚</w:t>
            </w:r>
            <w:bookmarkEnd w:id="2"/>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《河北省城市市容和环境卫生条例》（2023年11月30日修正）第十五条第二款</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70"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2</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bookmarkStart w:id="3" w:name="OLE_LINK11"/>
            <w:r>
              <w:rPr>
                <w:rFonts w:hint="eastAsia" w:ascii="仿宋_GB2312" w:hAnsi="仿宋_GB2312" w:eastAsia="仿宋_GB2312" w:cs="仿宋_GB2312"/>
                <w:i w:val="0"/>
                <w:color w:val="000000"/>
                <w:spacing w:val="-6"/>
                <w:kern w:val="0"/>
                <w:sz w:val="22"/>
                <w:szCs w:val="22"/>
                <w:u w:val="none"/>
                <w:lang w:val="en-US" w:eastAsia="zh-CN" w:bidi="ar"/>
              </w:rPr>
              <w:t>对未按规定利用悬挂物</w:t>
            </w:r>
            <w:bookmarkEnd w:id="3"/>
            <w:r>
              <w:rPr>
                <w:rFonts w:hint="eastAsia" w:ascii="仿宋_GB2312" w:hAnsi="仿宋_GB2312" w:eastAsia="仿宋_GB2312" w:cs="仿宋_GB2312"/>
                <w:i w:val="0"/>
                <w:color w:val="000000"/>
                <w:spacing w:val="-6"/>
                <w:kern w:val="0"/>
                <w:sz w:val="22"/>
                <w:szCs w:val="22"/>
                <w:u w:val="none"/>
                <w:lang w:val="en-US" w:eastAsia="zh-CN" w:bidi="ar"/>
              </w:rPr>
              <w:t>、充气装置、实物造型等载体设置广告或期满后未及时撤除，或者不及时整修、清洗、更换影响市容的户外广告牌或不予加固、拆除有安全隐患的广告牌、招牌的行政处罚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《河北省城市市容和环境卫生条例》（2023年11月30日修正）第十八条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47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3</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对擅自在城市的道路两侧和公共场地堆放物料等行为的行政处罚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《河北省城市市容和环境卫生条例》（2023年11月30日修正）第二十二条第二款</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00"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4</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bookmarkStart w:id="4" w:name="OLE_LINK12"/>
            <w:r>
              <w:rPr>
                <w:rFonts w:hint="eastAsia" w:ascii="仿宋_GB2312" w:hAnsi="仿宋_GB2312" w:eastAsia="仿宋_GB2312" w:cs="仿宋_GB2312"/>
                <w:i w:val="0"/>
                <w:color w:val="000000"/>
                <w:spacing w:val="-6"/>
                <w:kern w:val="0"/>
                <w:sz w:val="22"/>
                <w:szCs w:val="22"/>
                <w:u w:val="none"/>
                <w:lang w:val="en-US" w:eastAsia="zh-CN" w:bidi="ar"/>
              </w:rPr>
              <w:t>对不按照规定清理垃圾</w:t>
            </w:r>
            <w:bookmarkEnd w:id="4"/>
            <w:r>
              <w:rPr>
                <w:rFonts w:hint="eastAsia" w:ascii="仿宋_GB2312" w:hAnsi="仿宋_GB2312" w:eastAsia="仿宋_GB2312" w:cs="仿宋_GB2312"/>
                <w:i w:val="0"/>
                <w:color w:val="000000"/>
                <w:spacing w:val="-6"/>
                <w:kern w:val="0"/>
                <w:sz w:val="22"/>
                <w:szCs w:val="22"/>
                <w:u w:val="none"/>
                <w:lang w:val="en-US" w:eastAsia="zh-CN" w:bidi="ar"/>
              </w:rPr>
              <w:t>、粪便、积雪的行政处罚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《河北省城市市容和环境卫生条例》（2023年11月30日修正）第三十二条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300"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5</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对从事车辆清洗、维修经营活动，未在室内进行，占用道路、绿地、公共场所等的行政处罚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《河北省城市市容和环境卫生条例》（2023年11月30日修正）第三十八条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150"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6</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对影响环境卫生行为的行政处罚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《河北省城市市容和环境卫生条例》（2023年11月30日修正）第四十条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56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7</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对在树木上设置广告牌、标语牌或者牵拉绳索、架设电线，以树承重等行为的行政处罚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《河北省城市园林绿化管理办法》（2023年1月20日修正）第四十九条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56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8</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文化旅游</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对单位、个人擅自安装和使用卫星地面接收设施的行政处罚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《卫星电视广播地面接收设施管理规定》（2018年9月18日修订）第十条第三款</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330"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pacing w:val="-6"/>
                <w:kern w:val="0"/>
                <w:sz w:val="22"/>
                <w:szCs w:val="22"/>
                <w:u w:val="none"/>
                <w:lang w:val="en-US" w:eastAsia="zh-CN" w:bidi="ar"/>
              </w:rPr>
            </w:pPr>
            <w:r>
              <w:rPr>
                <w:rFonts w:hint="eastAsia" w:ascii="仿宋_GB2312" w:hAnsi="仿宋_GB2312" w:eastAsia="仿宋_GB2312" w:cs="仿宋_GB2312"/>
                <w:i w:val="0"/>
                <w:color w:val="000000"/>
                <w:spacing w:val="-6"/>
                <w:kern w:val="0"/>
                <w:sz w:val="22"/>
                <w:szCs w:val="22"/>
                <w:u w:val="none"/>
                <w:lang w:val="en-US" w:eastAsia="zh-CN" w:bidi="ar"/>
              </w:rPr>
              <w:t>9</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pacing w:val="-6"/>
                <w:kern w:val="0"/>
                <w:sz w:val="22"/>
                <w:szCs w:val="22"/>
                <w:u w:val="none"/>
                <w:lang w:val="en-US" w:eastAsia="zh-CN" w:bidi="ar"/>
              </w:rPr>
            </w:pPr>
            <w:r>
              <w:rPr>
                <w:rFonts w:hint="eastAsia" w:ascii="仿宋_GB2312" w:hAnsi="仿宋_GB2312" w:eastAsia="仿宋_GB2312" w:cs="仿宋_GB2312"/>
                <w:i w:val="0"/>
                <w:color w:val="000000"/>
                <w:spacing w:val="-6"/>
                <w:kern w:val="0"/>
                <w:sz w:val="22"/>
                <w:szCs w:val="22"/>
                <w:u w:val="none"/>
                <w:lang w:val="en-US" w:eastAsia="zh-CN" w:bidi="ar"/>
              </w:rPr>
              <w:t>文化旅游</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pacing w:val="-6"/>
                <w:kern w:val="0"/>
                <w:sz w:val="22"/>
                <w:szCs w:val="22"/>
                <w:u w:val="none"/>
                <w:lang w:val="en-US" w:eastAsia="zh-CN" w:bidi="ar"/>
              </w:rPr>
            </w:pPr>
            <w:r>
              <w:rPr>
                <w:rFonts w:hint="eastAsia" w:ascii="仿宋_GB2312" w:hAnsi="仿宋_GB2312" w:eastAsia="仿宋_GB2312" w:cs="仿宋_GB2312"/>
                <w:i w:val="0"/>
                <w:color w:val="000000"/>
                <w:spacing w:val="-6"/>
                <w:kern w:val="0"/>
                <w:sz w:val="22"/>
                <w:szCs w:val="22"/>
                <w:u w:val="none"/>
                <w:lang w:val="en-US" w:eastAsia="zh-CN" w:bidi="ar"/>
              </w:rPr>
              <w:t>对擅自从事电影摄制、发行、放映活动的行政处罚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仿宋_GB2312" w:hAnsi="仿宋_GB2312" w:eastAsia="仿宋_GB2312" w:cs="仿宋_GB2312"/>
                <w:i w:val="0"/>
                <w:color w:val="000000"/>
                <w:spacing w:val="-6"/>
                <w:kern w:val="0"/>
                <w:sz w:val="22"/>
                <w:szCs w:val="22"/>
                <w:u w:val="none"/>
                <w:lang w:val="en-US" w:eastAsia="zh-CN" w:bidi="ar"/>
              </w:rPr>
            </w:pPr>
            <w:r>
              <w:rPr>
                <w:rFonts w:hint="eastAsia" w:ascii="仿宋_GB2312" w:hAnsi="仿宋_GB2312" w:eastAsia="仿宋_GB2312" w:cs="仿宋_GB2312"/>
                <w:i w:val="0"/>
                <w:color w:val="000000"/>
                <w:spacing w:val="-6"/>
                <w:kern w:val="0"/>
                <w:sz w:val="22"/>
                <w:szCs w:val="22"/>
                <w:u w:val="none"/>
                <w:lang w:val="en-US" w:eastAsia="zh-CN" w:bidi="ar"/>
              </w:rPr>
              <w:t>《中华人民共和国电影产业促进法》（2016年11月7日公布）第四十七条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56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spacing w:val="-6"/>
                <w:kern w:val="0"/>
                <w:sz w:val="22"/>
                <w:szCs w:val="22"/>
                <w:u w:val="none"/>
                <w:lang w:val="en-US" w:eastAsia="zh-CN" w:bidi="ar"/>
              </w:rPr>
              <w:t>10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生态环境</w:t>
            </w:r>
          </w:p>
        </w:tc>
        <w:tc>
          <w:tcPr>
            <w:tcW w:w="34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对露天焚烧秸秆、落叶、枯草等产生烟尘污染的行政处罚</w:t>
            </w:r>
          </w:p>
        </w:tc>
        <w:tc>
          <w:tcPr>
            <w:tcW w:w="26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《中华人民共和国大气污染防治法》（2018年10月26日修正）第一百一十九条第一款</w:t>
            </w:r>
            <w:r>
              <w:rPr>
                <w:rFonts w:hint="eastAsia" w:ascii="仿宋_GB2312" w:hAnsi="仿宋_GB2312" w:eastAsia="仿宋_GB2312" w:cs="仿宋_GB2312"/>
                <w:i w:val="0"/>
                <w:color w:val="000000"/>
                <w:spacing w:val="-6"/>
                <w:kern w:val="0"/>
                <w:sz w:val="22"/>
                <w:szCs w:val="22"/>
                <w:u w:val="none"/>
                <w:lang w:val="en-US" w:eastAsia="zh-CN" w:bidi="ar"/>
              </w:rPr>
              <w:br w:type="textWrapping"/>
            </w:r>
            <w:r>
              <w:rPr>
                <w:rFonts w:hint="eastAsia" w:ascii="仿宋_GB2312" w:hAnsi="仿宋_GB2312" w:eastAsia="仿宋_GB2312" w:cs="仿宋_GB2312"/>
                <w:i w:val="0"/>
                <w:color w:val="000000"/>
                <w:spacing w:val="-6"/>
                <w:kern w:val="0"/>
                <w:sz w:val="22"/>
                <w:szCs w:val="22"/>
                <w:u w:val="none"/>
                <w:lang w:val="en-US" w:eastAsia="zh-CN" w:bidi="ar"/>
              </w:rPr>
              <w:t xml:space="preserve">《河北省大气污染防治条例》（2021年9月29日修正）第八十七条  </w:t>
            </w:r>
            <w:r>
              <w:rPr>
                <w:rFonts w:hint="eastAsia" w:ascii="仿宋_GB2312" w:hAnsi="仿宋_GB2312" w:eastAsia="仿宋_GB2312" w:cs="仿宋_GB2312"/>
                <w:i w:val="0"/>
                <w:color w:val="000000"/>
                <w:spacing w:val="-6"/>
                <w:kern w:val="0"/>
                <w:sz w:val="22"/>
                <w:szCs w:val="22"/>
                <w:u w:val="none"/>
                <w:lang w:val="en-US" w:eastAsia="zh-CN" w:bidi="ar"/>
              </w:rPr>
              <w:br w:type="textWrapping"/>
            </w:r>
            <w:r>
              <w:rPr>
                <w:rFonts w:hint="eastAsia" w:ascii="仿宋_GB2312" w:hAnsi="仿宋_GB2312" w:eastAsia="仿宋_GB2312" w:cs="仿宋_GB2312"/>
                <w:i w:val="0"/>
                <w:color w:val="000000"/>
                <w:spacing w:val="-6"/>
                <w:kern w:val="0"/>
                <w:sz w:val="22"/>
                <w:szCs w:val="22"/>
                <w:u w:val="none"/>
                <w:lang w:val="en-US" w:eastAsia="zh-CN" w:bidi="ar"/>
              </w:rPr>
              <w:t>《河北省人民代表大会常务委员会关于促进农作物秸秆综合利用和禁止露天焚烧的决定》（2018年7月27日修订）第二十四条</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820"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spacing w:val="-6"/>
                <w:kern w:val="0"/>
                <w:sz w:val="22"/>
                <w:szCs w:val="22"/>
                <w:u w:val="none"/>
                <w:lang w:val="en-US" w:eastAsia="zh-CN" w:bidi="ar"/>
              </w:rPr>
              <w:t>11</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生态环境</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对农业经营主体因未妥善采取综合利用措施，对农产品采收后的秸秆及树叶、荒草予以处理，致使露天焚烧的行政处罚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《河北省人民代表大会常务委员会关于促进农作物秸秆综合利用和禁止露天焚烧的决定》（2018年7月27日修订）第二十五条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7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spacing w:val="-6"/>
                <w:kern w:val="0"/>
                <w:sz w:val="22"/>
                <w:szCs w:val="22"/>
                <w:u w:val="none"/>
                <w:lang w:val="en-US" w:eastAsia="zh-CN" w:bidi="ar"/>
              </w:rPr>
              <w:t>12</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农业农村</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对农村村民未经批准或者采取欺骗手段骗取批准非法占用土地建住宅的行政处罚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 xml:space="preserve">《中华人民共和国土地管理法》（2019年8月26日修正）第七十八条 </w:t>
            </w:r>
            <w:r>
              <w:rPr>
                <w:rFonts w:hint="eastAsia" w:ascii="仿宋_GB2312" w:hAnsi="仿宋_GB2312" w:eastAsia="仿宋_GB2312" w:cs="仿宋_GB2312"/>
                <w:i w:val="0"/>
                <w:color w:val="000000"/>
                <w:spacing w:val="-6"/>
                <w:kern w:val="0"/>
                <w:sz w:val="22"/>
                <w:szCs w:val="22"/>
                <w:u w:val="none"/>
                <w:lang w:val="en-US" w:eastAsia="zh-CN" w:bidi="ar"/>
              </w:rPr>
              <w:br w:type="textWrapping"/>
            </w:r>
            <w:r>
              <w:rPr>
                <w:rFonts w:hint="eastAsia" w:ascii="仿宋_GB2312" w:hAnsi="仿宋_GB2312" w:eastAsia="仿宋_GB2312" w:cs="仿宋_GB2312"/>
                <w:i w:val="0"/>
                <w:color w:val="000000"/>
                <w:spacing w:val="-6"/>
                <w:kern w:val="0"/>
                <w:sz w:val="22"/>
                <w:szCs w:val="22"/>
                <w:u w:val="none"/>
                <w:lang w:val="en-US" w:eastAsia="zh-CN" w:bidi="ar"/>
              </w:rPr>
              <w:t>《河北省土地管理条例》（2022年3月30日修订）第六十八条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1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spacing w:val="-6"/>
                <w:kern w:val="0"/>
                <w:sz w:val="22"/>
                <w:szCs w:val="22"/>
                <w:u w:val="none"/>
                <w:lang w:val="en-US" w:eastAsia="zh-CN" w:bidi="ar"/>
              </w:rPr>
              <w:t>13</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民族事务</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对未按照要求生产、经营清真食品的行政处罚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《河北省清真食品管理条例》（1999年11月29日公布）第十七条第（一）（二）（三）（四）（六）（七）（八）项</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467"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spacing w:val="-6"/>
                <w:kern w:val="0"/>
                <w:sz w:val="22"/>
                <w:szCs w:val="22"/>
                <w:u w:val="none"/>
                <w:lang w:val="en-US" w:eastAsia="zh-CN" w:bidi="ar"/>
              </w:rPr>
              <w:t>14</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宗教事务</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对假冒宗教教职人员进行宗教活动或者骗取钱财等违法活动的行政处罚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《宗教事务条例》（2017年8月26日修订）第七十四条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bl>
    <w:p>
      <w:pPr>
        <w:keepNext w:val="0"/>
        <w:keepLines w:val="0"/>
        <w:pageBreakBefore w:val="0"/>
        <w:kinsoku/>
        <w:wordWrap/>
        <w:overflowPunct/>
        <w:topLinePunct w:val="0"/>
        <w:autoSpaceDE/>
        <w:autoSpaceDN/>
        <w:bidi w:val="0"/>
        <w:adjustRightInd/>
        <w:snapToGrid/>
        <w:spacing w:line="360" w:lineRule="exact"/>
        <w:textAlignment w:val="auto"/>
      </w:pPr>
    </w:p>
    <w:p/>
    <w:p>
      <w:pPr>
        <w:spacing w:line="20" w:lineRule="exact"/>
        <w:rPr>
          <w:rFonts w:ascii="仿宋_GB2312" w:hAnsi="仿宋" w:eastAsia="仿宋_GB2312"/>
          <w:sz w:val="28"/>
          <w:szCs w:val="28"/>
        </w:rPr>
      </w:pPr>
    </w:p>
    <w:p>
      <w:pPr>
        <w:spacing w:line="20" w:lineRule="exact"/>
      </w:pPr>
      <w:r>
        <mc:AlternateContent>
          <mc:Choice Requires="wps">
            <w:drawing>
              <wp:anchor distT="0" distB="0" distL="114300" distR="114300" simplePos="0" relativeHeight="251659264" behindDoc="0" locked="0" layoutInCell="1" allowOverlap="1">
                <wp:simplePos x="0" y="0"/>
                <wp:positionH relativeFrom="column">
                  <wp:posOffset>2235835</wp:posOffset>
                </wp:positionH>
                <wp:positionV relativeFrom="paragraph">
                  <wp:posOffset>578485</wp:posOffset>
                </wp:positionV>
                <wp:extent cx="790575" cy="285750"/>
                <wp:effectExtent l="4445" t="4445" r="5080" b="14605"/>
                <wp:wrapNone/>
                <wp:docPr id="3" name="文本框 3"/>
                <wp:cNvGraphicFramePr/>
                <a:graphic xmlns:a="http://schemas.openxmlformats.org/drawingml/2006/main">
                  <a:graphicData uri="http://schemas.microsoft.com/office/word/2010/wordprocessingShape">
                    <wps:wsp>
                      <wps:cNvSpPr txBox="1"/>
                      <wps:spPr>
                        <a:xfrm>
                          <a:off x="0" y="0"/>
                          <a:ext cx="790575" cy="285750"/>
                        </a:xfrm>
                        <a:prstGeom prst="rect">
                          <a:avLst/>
                        </a:prstGeom>
                        <a:solidFill>
                          <a:srgbClr val="FFFFFF"/>
                        </a:solidFill>
                        <a:ln w="9525" cap="flat" cmpd="sng">
                          <a:solidFill>
                            <a:srgbClr val="FFFFFF"/>
                          </a:solidFill>
                          <a:prstDash val="solid"/>
                          <a:miter/>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margin-left:176.05pt;margin-top:45.55pt;height:22.5pt;width:62.25pt;z-index:251659264;mso-width-relative:page;mso-height-relative:page;" fillcolor="#FFFFFF" filled="t" stroked="t" coordsize="21600,21600" o:gfxdata="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m0bZbtkAAAAKAQAADwAAAAAAAAABACAAAAAiAAAA&#10;ZHJzL2Rvd25yZXYueG1sUEsBAhQAFAAAAAgAh07iQOPDaAYGAgAANQQAAA4AAAAAAAAAAQAgAAAA&#10;KAEAAGRycy9lMm9Eb2MueG1sUEsFBgAAAAAGAAYAWQEAAKAFAAAAAA==&#10;">
                <v:fill on="t" focussize="0,0"/>
                <v:stroke color="#FFFFFF" joinstyle="miter"/>
                <v:imagedata o:title=""/>
                <o:lock v:ext="edit" aspectratio="f"/>
                <v:textbox>
                  <w:txbxContent>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-61595</wp:posOffset>
                </wp:positionH>
                <wp:positionV relativeFrom="paragraph">
                  <wp:posOffset>7701280</wp:posOffset>
                </wp:positionV>
                <wp:extent cx="801370" cy="316865"/>
                <wp:effectExtent l="4445" t="4445" r="13335" b="21590"/>
                <wp:wrapNone/>
                <wp:docPr id="4" name="文本框 4"/>
                <wp:cNvGraphicFramePr/>
                <a:graphic xmlns:a="http://schemas.openxmlformats.org/drawingml/2006/main">
                  <a:graphicData uri="http://schemas.microsoft.com/office/word/2010/wordprocessingShape">
                    <wps:wsp>
                      <wps:cNvSpPr txBox="1"/>
                      <wps:spPr>
                        <a:xfrm flipV="1">
                          <a:off x="0" y="0"/>
                          <a:ext cx="801370" cy="316865"/>
                        </a:xfrm>
                        <a:prstGeom prst="rect">
                          <a:avLst/>
                        </a:prstGeom>
                        <a:solidFill>
                          <a:srgbClr val="FFFFFF"/>
                        </a:solidFill>
                        <a:ln w="9525" cap="flat" cmpd="sng">
                          <a:solidFill>
                            <a:srgbClr val="FFFFFF"/>
                          </a:solidFill>
                          <a:prstDash val="solid"/>
                          <a:miter/>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flip:y;margin-left:-4.85pt;margin-top:606.4pt;height:24.95pt;width:63.1pt;z-index:251661312;mso-width-relative:page;mso-height-relative:page;" fillcolor="#FFFFFF" filled="t" stroked="t" coordsize="21600,21600" o:gfxdata="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DYD9/WAAAADAEAAA8AAAAAAAAAAQAgAAAA&#10;IgAAAGRycy9kb3ducmV2LnhtbFBLAQIUABQAAAAIAIdO4kDt64ywDQIAAD8EAAAOAAAAAAAAAAEA&#10;IAAAACUBAABkcnMvZTJvRG9jLnhtbFBLBQYAAAAABgAGAFkBAACkBQAAAAA=&#10;">
                <v:fill on="t" focussize="0,0"/>
                <v:stroke color="#FFFFFF" joinstyle="miter"/>
                <v:imagedata o:title=""/>
                <o:lock v:ext="edit" aspectratio="f"/>
                <v:textbox>
                  <w:txbxContent>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258445</wp:posOffset>
                </wp:positionH>
                <wp:positionV relativeFrom="paragraph">
                  <wp:posOffset>2270760</wp:posOffset>
                </wp:positionV>
                <wp:extent cx="944245" cy="407035"/>
                <wp:effectExtent l="0" t="0" r="8255" b="12065"/>
                <wp:wrapNone/>
                <wp:docPr id="1" name="文本框 1"/>
                <wp:cNvGraphicFramePr/>
                <a:graphic xmlns:a="http://schemas.openxmlformats.org/drawingml/2006/main">
                  <a:graphicData uri="http://schemas.microsoft.com/office/word/2010/wordprocessingShape">
                    <wps:wsp>
                      <wps:cNvSpPr txBox="1"/>
                      <wps:spPr>
                        <a:xfrm flipV="1">
                          <a:off x="0" y="0"/>
                          <a:ext cx="944245" cy="407035"/>
                        </a:xfrm>
                        <a:prstGeom prst="rect">
                          <a:avLst/>
                        </a:prstGeom>
                        <a:solidFill>
                          <a:srgbClr val="FFFFFF"/>
                        </a:solidFill>
                        <a:ln>
                          <a:noFill/>
                        </a:ln>
                      </wps:spPr>
                      <wps:txbx>
                        <w:txbxContent>
                          <w:p/>
                        </w:txbxContent>
                      </wps:txbx>
                      <wps:bodyPr wrap="square" upright="1">
                        <a:noAutofit/>
                      </wps:bodyPr>
                    </wps:wsp>
                  </a:graphicData>
                </a:graphic>
              </wp:anchor>
            </w:drawing>
          </mc:Choice>
          <mc:Fallback>
            <w:pict>
              <v:shape id="_x0000_s1026" o:spid="_x0000_s1026" o:spt="202" type="#_x0000_t202" style="position:absolute;left:0pt;flip:y;margin-left:20.35pt;margin-top:178.8pt;height:32.05pt;width:74.35pt;z-index:251660288;mso-width-relative:page;mso-height-relative:page;" fillcolor="#FFFFFF" filled="t" stroked="f" coordsize="21600,21600" o:gfxdata="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XoUOR2gAAAAoBAAAPAAAA&#10;AAAAAAEAIAAAACIAAABkcnMvZG93bnJldi54bWxQSwECFAAUAAAACACHTuJAvAbCB9oBAACoAwAA&#10;DgAAAAAAAAABACAAAAApAQAAZHJzL2Uyb0RvYy54bWxQSwUGAAAAAAYABgBZAQAAdQUAAAAA&#10;">
                <v:fill on="t" focussize="0,0"/>
                <v:stroke on="f"/>
                <v:imagedata o:title=""/>
                <o:lock v:ext="edit" aspectratio="f"/>
                <v:textbox>
                  <w:txbxContent>
                    <w:p/>
                  </w:txbxContent>
                </v:textbox>
              </v:shape>
            </w:pict>
          </mc:Fallback>
        </mc:AlternateContent>
      </w:r>
    </w:p>
    <w:sectPr>
      <w:footerReference r:id="rId3" w:type="default"/>
      <w:pgSz w:w="11906" w:h="16838"/>
      <w:pgMar w:top="2098" w:right="1474" w:bottom="1984" w:left="1587" w:header="851" w:footer="141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20B05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4NzZjYzIwYjM0ZDg1ZWNiYmQyYjVlODk5ZDQyM2IifQ=="/>
  </w:docVars>
  <w:rsids>
    <w:rsidRoot w:val="44833D02"/>
    <w:rsid w:val="00106489"/>
    <w:rsid w:val="003A1F6C"/>
    <w:rsid w:val="004E7123"/>
    <w:rsid w:val="0069777D"/>
    <w:rsid w:val="007A3F1C"/>
    <w:rsid w:val="0095356F"/>
    <w:rsid w:val="00C7778C"/>
    <w:rsid w:val="00C8574A"/>
    <w:rsid w:val="00EC68DB"/>
    <w:rsid w:val="00F129F7"/>
    <w:rsid w:val="023A5C51"/>
    <w:rsid w:val="06CC2A9E"/>
    <w:rsid w:val="07B3203A"/>
    <w:rsid w:val="07FD1C3E"/>
    <w:rsid w:val="0C790A16"/>
    <w:rsid w:val="0D3E26E5"/>
    <w:rsid w:val="0F07055B"/>
    <w:rsid w:val="0F5C08A7"/>
    <w:rsid w:val="10030D22"/>
    <w:rsid w:val="11F272A1"/>
    <w:rsid w:val="13C924A6"/>
    <w:rsid w:val="14385D01"/>
    <w:rsid w:val="14FB5517"/>
    <w:rsid w:val="151A266A"/>
    <w:rsid w:val="15712BF4"/>
    <w:rsid w:val="17C807FC"/>
    <w:rsid w:val="18D14B46"/>
    <w:rsid w:val="1B884A37"/>
    <w:rsid w:val="1C0D4091"/>
    <w:rsid w:val="1E4A0F37"/>
    <w:rsid w:val="20193933"/>
    <w:rsid w:val="20412608"/>
    <w:rsid w:val="21BB3C02"/>
    <w:rsid w:val="235D6544"/>
    <w:rsid w:val="23F343A9"/>
    <w:rsid w:val="2501777F"/>
    <w:rsid w:val="25AD44C3"/>
    <w:rsid w:val="25F413E1"/>
    <w:rsid w:val="26771E8D"/>
    <w:rsid w:val="26FF4273"/>
    <w:rsid w:val="297B1909"/>
    <w:rsid w:val="2D8E54E4"/>
    <w:rsid w:val="2DF06932"/>
    <w:rsid w:val="2F334291"/>
    <w:rsid w:val="30191A45"/>
    <w:rsid w:val="31886E82"/>
    <w:rsid w:val="32D478CB"/>
    <w:rsid w:val="35E54E3E"/>
    <w:rsid w:val="364F7F6E"/>
    <w:rsid w:val="37A95E7A"/>
    <w:rsid w:val="38CC36E6"/>
    <w:rsid w:val="38CE3014"/>
    <w:rsid w:val="394A4072"/>
    <w:rsid w:val="3B1A5974"/>
    <w:rsid w:val="3CEA438B"/>
    <w:rsid w:val="3D574922"/>
    <w:rsid w:val="3E8F41C6"/>
    <w:rsid w:val="3EED9909"/>
    <w:rsid w:val="3F5FF92D"/>
    <w:rsid w:val="447D0568"/>
    <w:rsid w:val="44833D02"/>
    <w:rsid w:val="44F512D3"/>
    <w:rsid w:val="476D36B4"/>
    <w:rsid w:val="4AD12B3F"/>
    <w:rsid w:val="4CF24602"/>
    <w:rsid w:val="4CFA37FA"/>
    <w:rsid w:val="4E2978A9"/>
    <w:rsid w:val="4ED16DBE"/>
    <w:rsid w:val="4ED37773"/>
    <w:rsid w:val="4F035942"/>
    <w:rsid w:val="505F085C"/>
    <w:rsid w:val="5161094D"/>
    <w:rsid w:val="5355675E"/>
    <w:rsid w:val="548A4B3B"/>
    <w:rsid w:val="55740B4B"/>
    <w:rsid w:val="56B74113"/>
    <w:rsid w:val="58F5279F"/>
    <w:rsid w:val="5ADE798F"/>
    <w:rsid w:val="5AF74431"/>
    <w:rsid w:val="5CEE42FE"/>
    <w:rsid w:val="5DCE3FB2"/>
    <w:rsid w:val="5DE933FC"/>
    <w:rsid w:val="5F926F9A"/>
    <w:rsid w:val="5FEF10D9"/>
    <w:rsid w:val="6005151A"/>
    <w:rsid w:val="6029717B"/>
    <w:rsid w:val="629B5851"/>
    <w:rsid w:val="63760840"/>
    <w:rsid w:val="656B5ACE"/>
    <w:rsid w:val="66F520C2"/>
    <w:rsid w:val="6AD761A9"/>
    <w:rsid w:val="6B4C5A13"/>
    <w:rsid w:val="6FF375E1"/>
    <w:rsid w:val="707F415B"/>
    <w:rsid w:val="726406CA"/>
    <w:rsid w:val="73403930"/>
    <w:rsid w:val="748F3DFF"/>
    <w:rsid w:val="76F90094"/>
    <w:rsid w:val="77446974"/>
    <w:rsid w:val="78E74094"/>
    <w:rsid w:val="792026C4"/>
    <w:rsid w:val="79A158F2"/>
    <w:rsid w:val="79C93160"/>
    <w:rsid w:val="7B7373C3"/>
    <w:rsid w:val="7BA5080C"/>
    <w:rsid w:val="7DD02D0F"/>
    <w:rsid w:val="7E461224"/>
    <w:rsid w:val="83FF127E"/>
    <w:rsid w:val="972B3D36"/>
    <w:rsid w:val="C5F7D30E"/>
    <w:rsid w:val="D89F0D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unhideWhenUsed/>
    <w:qFormat/>
    <w:uiPriority w:val="1"/>
    <w:pPr>
      <w:outlineLvl w:val="0"/>
    </w:pPr>
    <w:rPr>
      <w:sz w:val="29"/>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cs="Calibri"/>
      <w:szCs w:val="21"/>
    </w:rPr>
  </w:style>
  <w:style w:type="paragraph" w:styleId="4">
    <w:name w:val="Body Text Indent"/>
    <w:basedOn w:val="1"/>
    <w:qFormat/>
    <w:uiPriority w:val="0"/>
    <w:pPr>
      <w:spacing w:after="120"/>
      <w:ind w:left="420" w:leftChars="200"/>
    </w:pPr>
    <w:rPr>
      <w:rFonts w:ascii="Times New Roman" w:hAnsi="Times New Roma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rPr>
      <w:sz w:val="24"/>
    </w:rPr>
  </w:style>
  <w:style w:type="paragraph" w:styleId="8">
    <w:name w:val="Body Text First Indent 2"/>
    <w:basedOn w:val="4"/>
    <w:qFormat/>
    <w:uiPriority w:val="0"/>
    <w:pPr>
      <w:ind w:firstLine="420" w:firstLineChars="200"/>
    </w:pPr>
    <w:rPr>
      <w:rFonts w:eastAsia="仿宋_GB2312" w:cs="方正小标宋简体"/>
      <w:sz w:val="32"/>
      <w:szCs w:val="44"/>
    </w:rPr>
  </w:style>
  <w:style w:type="character" w:styleId="11">
    <w:name w:val="page number"/>
    <w:basedOn w:val="10"/>
    <w:qFormat/>
    <w:uiPriority w:val="0"/>
  </w:style>
  <w:style w:type="character" w:styleId="12">
    <w:name w:val="Emphasis"/>
    <w:basedOn w:val="10"/>
    <w:qFormat/>
    <w:uiPriority w:val="0"/>
    <w:rPr>
      <w:i/>
    </w:rPr>
  </w:style>
  <w:style w:type="character" w:styleId="13">
    <w:name w:val="Hyperlink"/>
    <w:basedOn w:val="10"/>
    <w:qFormat/>
    <w:uiPriority w:val="0"/>
    <w:rPr>
      <w:color w:val="0000FF"/>
      <w:u w:val="single"/>
    </w:rPr>
  </w:style>
  <w:style w:type="paragraph" w:customStyle="1" w:styleId="14">
    <w:name w:val="Normal Indent1"/>
    <w:basedOn w:val="1"/>
    <w:qFormat/>
    <w:uiPriority w:val="0"/>
    <w:pPr>
      <w:ind w:firstLine="420"/>
    </w:pPr>
  </w:style>
  <w:style w:type="paragraph" w:customStyle="1" w:styleId="15">
    <w:name w:val="默认"/>
    <w:qFormat/>
    <w:uiPriority w:val="99"/>
    <w:rPr>
      <w:rFonts w:ascii="Helvetica" w:hAnsi="Helvetica" w:eastAsia="宋体" w:cs="Helvetica"/>
      <w:color w:val="000000"/>
      <w:sz w:val="22"/>
      <w:szCs w:val="22"/>
      <w:lang w:val="en-US" w:eastAsia="zh-CN" w:bidi="ar-SA"/>
    </w:rPr>
  </w:style>
  <w:style w:type="paragraph" w:customStyle="1" w:styleId="16">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7">
    <w:name w:val="NormalCharacter"/>
    <w:qFormat/>
    <w:uiPriority w:val="0"/>
  </w:style>
  <w:style w:type="paragraph" w:customStyle="1" w:styleId="18">
    <w:name w:val="UserStyle_17 New New"/>
    <w:qFormat/>
    <w:uiPriority w:val="0"/>
    <w:pPr>
      <w:jc w:val="both"/>
      <w:textAlignment w:val="baseline"/>
    </w:pPr>
    <w:rPr>
      <w:rFonts w:ascii="Calibri" w:hAnsi="Calibri" w:eastAsia="宋体" w:cs="Times New Roman"/>
      <w:kern w:val="2"/>
      <w:sz w:val="21"/>
      <w:szCs w:val="22"/>
      <w:lang w:val="en-US" w:eastAsia="zh-CN" w:bidi="ar-SA"/>
    </w:rPr>
  </w:style>
  <w:style w:type="character" w:customStyle="1" w:styleId="19">
    <w:name w:val="font51"/>
    <w:basedOn w:val="10"/>
    <w:qFormat/>
    <w:uiPriority w:val="0"/>
    <w:rPr>
      <w:rFonts w:hint="eastAsia" w:ascii="仿宋" w:hAnsi="仿宋" w:eastAsia="仿宋" w:cs="仿宋"/>
      <w:color w:val="000000"/>
      <w:sz w:val="22"/>
      <w:szCs w:val="22"/>
      <w:u w:val="none"/>
    </w:rPr>
  </w:style>
  <w:style w:type="character" w:customStyle="1" w:styleId="20">
    <w:name w:val="font71"/>
    <w:basedOn w:val="10"/>
    <w:qFormat/>
    <w:uiPriority w:val="0"/>
    <w:rPr>
      <w:rFonts w:hint="eastAsia" w:ascii="仿宋" w:hAnsi="仿宋" w:eastAsia="仿宋" w:cs="仿宋"/>
      <w:color w:val="00CCFF"/>
      <w:sz w:val="22"/>
      <w:szCs w:val="22"/>
      <w:u w:val="none"/>
    </w:rPr>
  </w:style>
  <w:style w:type="character" w:customStyle="1" w:styleId="21">
    <w:name w:val="font91"/>
    <w:basedOn w:val="10"/>
    <w:qFormat/>
    <w:uiPriority w:val="0"/>
    <w:rPr>
      <w:rFonts w:hint="eastAsia" w:ascii="仿宋" w:hAnsi="仿宋" w:eastAsia="仿宋" w:cs="仿宋"/>
      <w:color w:val="FF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BAIDU</Company>
  <Pages>13</Pages>
  <Words>5950</Words>
  <Characters>6010</Characters>
  <Lines>37</Lines>
  <Paragraphs>10</Paragraphs>
  <TotalTime>1</TotalTime>
  <ScaleCrop>false</ScaleCrop>
  <LinksUpToDate>false</LinksUpToDate>
  <CharactersWithSpaces>6124</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2023-12-07T06:51:00Z</dcterms:created>
  <dc:creator>多多</dc:creator>
  <cp:lastModifiedBy>Master</cp:lastModifiedBy>
  <cp:lastPrinted>2024-12-26T08:57:00Z</cp:lastPrinted>
  <dcterms:modified xsi:type="dcterms:W3CDTF">2025-02-20T07:18:20Z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C8ECBD498BED571A47DE636794C69F1B</vt:lpwstr>
  </property>
</Properties>
</file>