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9E8E26">
      <w:pPr>
        <w:widowControl/>
        <w:jc w:val="center"/>
        <w:rPr>
          <w:rFonts w:ascii="黑体" w:hAnsi="黑体" w:eastAsia="黑体"/>
          <w:b/>
          <w:sz w:val="72"/>
          <w:szCs w:val="72"/>
        </w:rPr>
      </w:pPr>
      <w:r>
        <w:rPr>
          <w:rFonts w:hint="eastAsia" w:ascii="黑体" w:hAnsi="宋体" w:eastAsia="黑体"/>
          <w:color w:val="002060"/>
          <w:sz w:val="72"/>
          <w:szCs w:val="72"/>
        </w:rPr>
        <w:drawing>
          <wp:anchor distT="0" distB="0" distL="0" distR="0" simplePos="0" relativeHeight="251659264" behindDoc="1" locked="0" layoutInCell="1" allowOverlap="1">
            <wp:simplePos x="0" y="0"/>
            <wp:positionH relativeFrom="column">
              <wp:posOffset>-1000125</wp:posOffset>
            </wp:positionH>
            <wp:positionV relativeFrom="paragraph">
              <wp:posOffset>-1355090</wp:posOffset>
            </wp:positionV>
            <wp:extent cx="7576820" cy="10796905"/>
            <wp:effectExtent l="0" t="0" r="5080" b="4445"/>
            <wp:wrapNone/>
            <wp:docPr id="1026" name="图片 7"/>
            <wp:cNvGraphicFramePr/>
            <a:graphic xmlns:a="http://schemas.openxmlformats.org/drawingml/2006/main">
              <a:graphicData uri="http://schemas.openxmlformats.org/drawingml/2006/picture">
                <pic:pic xmlns:pic="http://schemas.openxmlformats.org/drawingml/2006/picture">
                  <pic:nvPicPr>
                    <pic:cNvPr id="1026" name="图片 7"/>
                    <pic:cNvPicPr/>
                  </pic:nvPicPr>
                  <pic:blipFill>
                    <a:blip r:embed="rId7" cstate="print"/>
                    <a:srcRect/>
                    <a:stretch>
                      <a:fillRect/>
                    </a:stretch>
                  </pic:blipFill>
                  <pic:spPr>
                    <a:xfrm>
                      <a:off x="0" y="0"/>
                      <a:ext cx="7576820" cy="10796905"/>
                    </a:xfrm>
                    <a:prstGeom prst="rect">
                      <a:avLst/>
                    </a:prstGeom>
                  </pic:spPr>
                </pic:pic>
              </a:graphicData>
            </a:graphic>
          </wp:anchor>
        </w:drawing>
      </w:r>
    </w:p>
    <w:p w14:paraId="0B51A0DF">
      <w:pPr>
        <w:widowControl/>
        <w:jc w:val="center"/>
        <w:rPr>
          <w:rFonts w:ascii="黑体" w:hAnsi="宋体" w:eastAsia="黑体"/>
          <w:color w:val="002060"/>
          <w:sz w:val="72"/>
          <w:szCs w:val="72"/>
        </w:rPr>
      </w:pPr>
      <w:r>
        <w:rPr>
          <w:sz w:val="72"/>
        </w:rPr>
        <w:pict>
          <v:rect id="1027" o:spid="_x0000_s1120" o:spt="1" style="position:absolute;left:0pt;margin-left:-83.1pt;margin-top:43.25pt;height:242.05pt;width:596.2pt;z-index:251685888;mso-width-relative:page;mso-height-relative:page;" filled="f" stroked="f" coordsize="21600,21600">
            <v:path/>
            <v:fill on="f" focussize="0,0"/>
            <v:stroke on="f" weight="0.5pt"/>
            <v:imagedata o:title=""/>
            <o:lock v:ext="edit"/>
            <v:textbox>
              <w:txbxContent>
                <w:p w14:paraId="1A68266F">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唐山市国土资源局高新技术产业开发区分局</w:t>
                  </w:r>
                </w:p>
                <w:p w14:paraId="5EBA83DD">
                  <w:pPr>
                    <w:widowControl/>
                    <w:spacing w:line="1200" w:lineRule="exact"/>
                    <w:jc w:val="center"/>
                    <w:rPr>
                      <w:color w:val="FDEFBE"/>
                      <w:sz w:val="96"/>
                      <w:szCs w:val="96"/>
                    </w:rPr>
                  </w:pPr>
                  <w:r>
                    <w:rPr>
                      <w:rFonts w:hint="eastAsia" w:ascii="黑体" w:hAnsi="宋体" w:eastAsia="黑体"/>
                      <w:color w:val="FDEFBE"/>
                      <w:sz w:val="96"/>
                      <w:szCs w:val="96"/>
                    </w:rPr>
                    <w:t>2018年度部门决算</w:t>
                  </w:r>
                </w:p>
                <w:p w14:paraId="13B0DE0D">
                  <w:pPr>
                    <w:rPr>
                      <w:color w:val="FDEFBE"/>
                      <w:sz w:val="96"/>
                      <w:szCs w:val="96"/>
                    </w:rPr>
                  </w:pPr>
                </w:p>
              </w:txbxContent>
            </v:textbox>
          </v:rect>
        </w:pict>
      </w:r>
    </w:p>
    <w:p w14:paraId="6B8B6FC9">
      <w:pPr>
        <w:widowControl/>
        <w:jc w:val="center"/>
        <w:rPr>
          <w:rFonts w:ascii="黑体" w:hAnsi="黑体" w:eastAsia="黑体"/>
          <w:b/>
          <w:sz w:val="72"/>
          <w:szCs w:val="72"/>
        </w:rPr>
      </w:pPr>
    </w:p>
    <w:p w14:paraId="78E2227E">
      <w:pPr>
        <w:widowControl/>
        <w:jc w:val="center"/>
        <w:rPr>
          <w:rFonts w:ascii="黑体" w:hAnsi="黑体" w:eastAsia="黑体"/>
          <w:b/>
          <w:sz w:val="72"/>
          <w:szCs w:val="72"/>
        </w:rPr>
      </w:pPr>
    </w:p>
    <w:p w14:paraId="11EC6967">
      <w:pPr>
        <w:widowControl/>
        <w:jc w:val="center"/>
        <w:rPr>
          <w:rFonts w:ascii="黑体" w:hAnsi="黑体" w:eastAsia="黑体"/>
          <w:b/>
          <w:sz w:val="72"/>
          <w:szCs w:val="72"/>
        </w:rPr>
      </w:pPr>
    </w:p>
    <w:p w14:paraId="28A422AE">
      <w:pPr>
        <w:widowControl/>
        <w:jc w:val="center"/>
        <w:rPr>
          <w:rFonts w:ascii="黑体" w:hAnsi="黑体" w:eastAsia="黑体"/>
          <w:b/>
          <w:sz w:val="72"/>
          <w:szCs w:val="72"/>
        </w:rPr>
      </w:pPr>
    </w:p>
    <w:p w14:paraId="0B19F3D2">
      <w:pPr>
        <w:widowControl/>
        <w:jc w:val="center"/>
        <w:rPr>
          <w:rFonts w:ascii="黑体" w:hAnsi="黑体" w:eastAsia="黑体"/>
          <w:b/>
          <w:sz w:val="72"/>
          <w:szCs w:val="72"/>
        </w:rPr>
      </w:pPr>
    </w:p>
    <w:p w14:paraId="233ADB04">
      <w:pPr>
        <w:widowControl/>
        <w:jc w:val="center"/>
        <w:rPr>
          <w:rFonts w:ascii="黑体" w:hAnsi="黑体" w:eastAsia="黑体"/>
          <w:b/>
          <w:sz w:val="72"/>
          <w:szCs w:val="72"/>
        </w:rPr>
      </w:pPr>
    </w:p>
    <w:p w14:paraId="7CACFD48">
      <w:pPr>
        <w:widowControl/>
        <w:jc w:val="center"/>
        <w:rPr>
          <w:rFonts w:ascii="黑体" w:hAnsi="黑体" w:eastAsia="黑体"/>
          <w:b/>
          <w:sz w:val="72"/>
          <w:szCs w:val="72"/>
        </w:rPr>
      </w:pPr>
    </w:p>
    <w:p w14:paraId="68CC9AB5">
      <w:pPr>
        <w:widowControl/>
        <w:jc w:val="center"/>
        <w:rPr>
          <w:rFonts w:ascii="黑体" w:hAnsi="黑体" w:eastAsia="黑体"/>
          <w:b/>
          <w:sz w:val="72"/>
          <w:szCs w:val="72"/>
        </w:rPr>
      </w:pPr>
    </w:p>
    <w:p w14:paraId="244416AC">
      <w:pPr>
        <w:widowControl/>
        <w:jc w:val="center"/>
        <w:rPr>
          <w:rFonts w:ascii="黑体" w:hAnsi="黑体" w:eastAsia="黑体"/>
          <w:b/>
          <w:sz w:val="72"/>
          <w:szCs w:val="72"/>
        </w:rPr>
      </w:pPr>
    </w:p>
    <w:p w14:paraId="2E3FDB62">
      <w:pPr>
        <w:widowControl/>
        <w:jc w:val="center"/>
        <w:rPr>
          <w:rFonts w:ascii="楷体" w:hAnsi="楷体" w:eastAsia="楷体" w:cs="楷体"/>
          <w:b/>
          <w:sz w:val="44"/>
          <w:szCs w:val="44"/>
        </w:rPr>
        <w:sectPr>
          <w:footerReference r:id="rId5" w:type="default"/>
          <w:pgSz w:w="11906" w:h="16838"/>
          <w:pgMar w:top="2098" w:right="1474" w:bottom="1985" w:left="1588" w:header="851" w:footer="992" w:gutter="0"/>
          <w:cols w:space="425" w:num="1"/>
          <w:docGrid w:type="lines" w:linePitch="312" w:charSpace="0"/>
        </w:sectPr>
      </w:pPr>
      <w:r>
        <w:rPr>
          <w:rFonts w:hint="eastAsia" w:ascii="楷体" w:hAnsi="楷体" w:eastAsia="楷体" w:cs="楷体"/>
          <w:b/>
          <w:sz w:val="44"/>
          <w:szCs w:val="44"/>
        </w:rPr>
        <w:t>二〇一九年八月</w:t>
      </w:r>
    </w:p>
    <w:p w14:paraId="63367CA4">
      <w:pPr>
        <w:widowControl/>
        <w:jc w:val="center"/>
        <w:rPr>
          <w:rFonts w:ascii="黑体" w:hAnsi="黑体" w:eastAsia="黑体" w:cs="黑体"/>
          <w:b/>
          <w:sz w:val="44"/>
          <w:szCs w:val="44"/>
        </w:rPr>
      </w:pPr>
      <w:r>
        <w:rPr>
          <w:sz w:val="48"/>
          <w:szCs w:val="28"/>
        </w:rPr>
        <w:pict>
          <v:group id="_x0000_s1121" o:spid="_x0000_s1121" o:spt="203" style="position:absolute;left:0pt;margin-left:-80.8pt;margin-top:40pt;height:46.7pt;width:250.05pt;mso-position-vertical-relative:page;z-index:251704320;mso-width-relative:page;mso-height-relative:page;" coordsize="0,203">
            <o:lock v:ext="edit"/>
            <v:rect id="1029" o:spid="_x0000_s1122" o:spt="1" style="position:absolute;left:4551;top:52615;height:1175;width:8546;" fillcolor="#D8D8D8" filled="t" stroked="f" coordsize="21600,21600">
              <v:path/>
              <v:fill on="t" focussize="0,0"/>
              <v:stroke on="f" weight="2pt" color="#AF7621"/>
              <v:imagedata o:title=""/>
              <o:lock v:ext="edit"/>
            </v:rect>
            <v:rect id="1030" o:spid="_x0000_s1123" o:spt="1" style="position:absolute;left:4577;top:52890;height:1123;width:8324;v-text-anchor:middle;" fillcolor="#AD002D" filled="t" stroked="t" coordsize="21600,21600">
              <v:path/>
              <v:fill on="t" focussize="0,0"/>
              <v:stroke weight="2pt" color="#AF7621"/>
              <v:imagedata o:title=""/>
              <o:lock v:ext="edit"/>
              <v:textbox>
                <w:txbxContent>
                  <w:p w14:paraId="10F45C28">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14:paraId="13F53A87">
                    <w:pPr>
                      <w:jc w:val="center"/>
                    </w:pPr>
                  </w:p>
                </w:txbxContent>
              </v:textbox>
            </v:rect>
            <w10:anchorlock/>
          </v:group>
        </w:pict>
      </w:r>
    </w:p>
    <w:p w14:paraId="6AF02B20">
      <w:pPr>
        <w:rPr>
          <w:rFonts w:ascii="黑体" w:eastAsia="黑体"/>
          <w:sz w:val="44"/>
          <w:szCs w:val="44"/>
        </w:rPr>
      </w:pPr>
    </w:p>
    <w:p w14:paraId="3A2B4887">
      <w:pPr>
        <w:spacing w:beforeLines="200" w:after="0" w:line="240" w:lineRule="auto"/>
        <w:rPr>
          <w:sz w:val="48"/>
          <w:szCs w:val="28"/>
        </w:rPr>
      </w:pPr>
      <w:r>
        <w:rPr>
          <w:rFonts w:hint="eastAsia" w:eastAsia="仿宋_GB2312"/>
          <w:sz w:val="32"/>
          <w:szCs w:val="32"/>
        </w:rPr>
        <w:drawing>
          <wp:anchor distT="0" distB="0" distL="114300" distR="114300" simplePos="0" relativeHeight="251678720" behindDoc="0" locked="0" layoutInCell="1" allowOverlap="1">
            <wp:simplePos x="0" y="0"/>
            <wp:positionH relativeFrom="column">
              <wp:posOffset>-821055</wp:posOffset>
            </wp:positionH>
            <wp:positionV relativeFrom="page">
              <wp:posOffset>458470</wp:posOffset>
            </wp:positionV>
            <wp:extent cx="3180715" cy="847725"/>
            <wp:effectExtent l="0" t="0" r="635" b="9525"/>
            <wp:wrapSquare wrapText="bothSides"/>
            <wp:docPr id="10" name="图片 10" descr="图片16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图片16666"/>
                    <pic:cNvPicPr>
                      <a:picLocks noChangeAspect="1"/>
                    </pic:cNvPicPr>
                  </pic:nvPicPr>
                  <pic:blipFill>
                    <a:blip r:embed="rId8" cstate="print"/>
                    <a:stretch>
                      <a:fillRect/>
                    </a:stretch>
                  </pic:blipFill>
                  <pic:spPr>
                    <a:xfrm>
                      <a:off x="0" y="0"/>
                      <a:ext cx="3180715" cy="847725"/>
                    </a:xfrm>
                    <a:prstGeom prst="rect">
                      <a:avLst/>
                    </a:prstGeom>
                  </pic:spPr>
                </pic:pic>
              </a:graphicData>
            </a:graphic>
          </wp:anchor>
        </w:drawing>
      </w:r>
      <w:r>
        <w:rPr>
          <w:sz w:val="48"/>
          <w:szCs w:val="28"/>
        </w:rPr>
        <w:pict>
          <v:group id="_x0000_s1172" o:spid="_x0000_s1172" o:spt="203" style="position:absolute;left:0pt;margin-left:-31.6pt;margin-top:37.5pt;height:46.7pt;width:250.05pt;mso-position-vertical-relative:page;z-index:251705344;mso-width-relative:page;mso-height-relative:page;" coordsize="0,203">
            <o:lock v:ext="edit"/>
            <v:rect id="1029" o:spid="_x0000_s1173" o:spt="1" style="position:absolute;left:4551;top:52615;height:1175;width:8546;" fillcolor="#D8D8D8" filled="t" stroked="f" coordsize="21600,21600">
              <v:path/>
              <v:fill on="t" focussize="0,0"/>
              <v:stroke on="f" weight="2pt" color="#AF7621"/>
              <v:imagedata o:title=""/>
              <o:lock v:ext="edit"/>
            </v:rect>
            <v:rect id="1030" o:spid="_x0000_s1174" o:spt="1" style="position:absolute;left:4577;top:52890;height:1123;width:8324;v-text-anchor:middle;" fillcolor="#AD002D" filled="t" stroked="t" coordsize="21600,21600">
              <v:path/>
              <v:fill on="t" focussize="0,0"/>
              <v:stroke weight="2pt" color="#AF7621"/>
              <v:imagedata o:title=""/>
              <o:lock v:ext="edit"/>
              <v:textbox>
                <w:txbxContent>
                  <w:p w14:paraId="0023F7CA">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14:paraId="2BBC74FB">
                    <w:pPr>
                      <w:jc w:val="center"/>
                    </w:pPr>
                  </w:p>
                </w:txbxContent>
              </v:textbox>
            </v:rect>
            <w10:anchorlock/>
          </v:group>
        </w:pict>
      </w:r>
    </w:p>
    <w:p w14:paraId="4B1FDCB0">
      <w:pPr>
        <w:spacing w:beforeLines="200" w:after="0" w:line="240" w:lineRule="auto"/>
        <w:jc w:val="center"/>
        <w:rPr>
          <w:rFonts w:ascii="黑体" w:eastAsia="黑体"/>
          <w:sz w:val="48"/>
          <w:szCs w:val="48"/>
        </w:rPr>
      </w:pPr>
      <w:r>
        <w:rPr>
          <w:sz w:val="48"/>
          <w:szCs w:val="28"/>
        </w:rPr>
        <w:pict>
          <v:group id="_x0000_s1166" o:spid="_x0000_s1166" o:spt="203" style="position:absolute;left:0pt;margin-left:-80.8pt;margin-top:40pt;height:102.9pt;width:406.55pt;mso-position-vertical-relative:page;z-index:251706368;mso-width-relative:page;mso-height-relative:page;" coordsize="0,203">
            <o:lock v:ext="edit"/>
            <v:rect id="1029" o:spid="_x0000_s1167" o:spt="1" style="position:absolute;left:4551;top:52615;height:1175;width:8546;" fillcolor="#D8D8D8" filled="t" stroked="f" coordsize="21600,21600">
              <v:path/>
              <v:fill on="t" focussize="0,0"/>
              <v:stroke on="f" weight="2pt"/>
              <v:imagedata o:title=""/>
              <o:lock v:ext="edit"/>
            </v:rect>
            <v:rect id="1030" o:spid="_x0000_s1168" o:spt="1" style="position:absolute;left:4577;top:52890;height:1123;width:8324;v-text-anchor:middle;" fillcolor="#AD002D" filled="t" stroked="t" coordsize="21600,21600">
              <v:path/>
              <v:fill on="t" focussize="0,0"/>
              <v:stroke weight="2pt" color="#AF7621"/>
              <v:imagedata o:title=""/>
              <o:lock v:ext="edit"/>
              <v:textbox>
                <w:txbxContent>
                  <w:p w14:paraId="6DB4B383">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14:paraId="05CA7F74">
                    <w:pPr>
                      <w:jc w:val="center"/>
                    </w:pPr>
                  </w:p>
                </w:txbxContent>
              </v:textbox>
            </v:rect>
            <w10:anchorlock/>
          </v:group>
        </w:pict>
      </w:r>
      <w:r>
        <w:rPr>
          <w:sz w:val="48"/>
          <w:szCs w:val="28"/>
        </w:rPr>
        <w:pict>
          <v:group id="1028" o:spid="_x0000_s1117" o:spt="203" style="position:absolute;left:0pt;margin-left:-78.3pt;margin-top:30pt;height:46.7pt;width:250.05pt;mso-position-vertical-relative:page;z-index:251695104;mso-width-relative:page;mso-height-relative:page;" coordsize="0,203203">
            <o:lock v:ext="edit"/>
            <v:rect id="1029" o:spid="_x0000_s1119" o:spt="1" style="position:absolute;left:4551;top:52615;height:1175;width:8546;" fillcolor="#D8D8D8" filled="t" stroked="f" coordsize="21600,21600">
              <v:path/>
              <v:fill on="t" focussize="0,0"/>
              <v:stroke on="f" weight="2pt" color="#AF7621"/>
              <v:imagedata o:title=""/>
              <o:lock v:ext="edit"/>
            </v:rect>
            <v:rect id="1030" o:spid="_x0000_s1118" o:spt="1" style="position:absolute;left:4577;top:52890;height:1123;width:8324;v-text-anchor:middle;" fillcolor="#AD002D" filled="t" stroked="t" coordsize="21600,21600">
              <v:path/>
              <v:fill on="t" focussize="0,0"/>
              <v:stroke weight="2pt" color="#AF7621"/>
              <v:imagedata o:title=""/>
              <o:lock v:ext="edit"/>
              <v:textbox>
                <w:txbxContent>
                  <w:p w14:paraId="01651B41">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14:paraId="11A9782F">
                    <w:pPr>
                      <w:jc w:val="center"/>
                    </w:pPr>
                  </w:p>
                </w:txbxContent>
              </v:textbox>
            </v:rect>
            <w10:anchorlock/>
          </v:group>
        </w:pict>
      </w:r>
      <w:r>
        <w:rPr>
          <w:rFonts w:hint="eastAsia" w:ascii="黑体" w:eastAsia="黑体"/>
          <w:sz w:val="48"/>
          <w:szCs w:val="48"/>
        </w:rPr>
        <w:t>目    录</w:t>
      </w:r>
    </w:p>
    <w:p w14:paraId="296050C4">
      <w:pPr>
        <w:widowControl/>
        <w:spacing w:line="580" w:lineRule="exact"/>
        <w:ind w:firstLine="640" w:firstLineChars="200"/>
        <w:rPr>
          <w:rFonts w:eastAsia="黑体"/>
          <w:sz w:val="32"/>
          <w:szCs w:val="32"/>
        </w:rPr>
      </w:pPr>
    </w:p>
    <w:p w14:paraId="2FB7A93E">
      <w:pPr>
        <w:widowControl/>
        <w:spacing w:line="580" w:lineRule="exact"/>
        <w:ind w:firstLine="640" w:firstLineChars="200"/>
        <w:rPr>
          <w:rFonts w:eastAsia="仿宋_GB2312"/>
          <w:sz w:val="24"/>
          <w:szCs w:val="32"/>
        </w:rPr>
      </w:pPr>
      <w:r>
        <w:rPr>
          <w:rFonts w:eastAsia="黑体"/>
          <w:sz w:val="32"/>
          <w:szCs w:val="32"/>
        </w:rPr>
        <w:t>第一部分部门概况</w:t>
      </w:r>
    </w:p>
    <w:p w14:paraId="6DAB4FF3">
      <w:pPr>
        <w:widowControl/>
        <w:spacing w:line="580" w:lineRule="exact"/>
        <w:ind w:firstLine="1273" w:firstLineChars="398"/>
        <w:rPr>
          <w:rFonts w:eastAsia="仿宋_GB2312"/>
          <w:sz w:val="32"/>
          <w:szCs w:val="32"/>
        </w:rPr>
      </w:pPr>
      <w:r>
        <w:rPr>
          <w:rFonts w:eastAsia="仿宋_GB2312"/>
          <w:sz w:val="32"/>
          <w:szCs w:val="32"/>
        </w:rPr>
        <w:t>一、部门</w:t>
      </w:r>
      <w:r>
        <w:rPr>
          <w:rFonts w:hint="eastAsia" w:eastAsia="仿宋_GB2312"/>
          <w:sz w:val="32"/>
          <w:szCs w:val="32"/>
        </w:rPr>
        <w:t>职责</w:t>
      </w:r>
    </w:p>
    <w:p w14:paraId="5EDEED2A">
      <w:pPr>
        <w:widowControl/>
        <w:spacing w:line="580" w:lineRule="exact"/>
        <w:ind w:firstLine="1273" w:firstLineChars="398"/>
        <w:rPr>
          <w:rFonts w:eastAsia="仿宋_GB2312"/>
          <w:sz w:val="32"/>
          <w:szCs w:val="32"/>
        </w:rPr>
      </w:pPr>
      <w:r>
        <w:rPr>
          <w:rFonts w:eastAsia="仿宋_GB2312"/>
          <w:sz w:val="32"/>
          <w:szCs w:val="32"/>
        </w:rPr>
        <w:t>二、</w:t>
      </w:r>
      <w:r>
        <w:rPr>
          <w:rFonts w:hint="eastAsia" w:eastAsia="仿宋_GB2312"/>
          <w:sz w:val="32"/>
          <w:szCs w:val="32"/>
        </w:rPr>
        <w:t>机构设置</w:t>
      </w:r>
    </w:p>
    <w:p w14:paraId="45C83172">
      <w:pPr>
        <w:widowControl/>
        <w:spacing w:line="580" w:lineRule="exact"/>
        <w:ind w:firstLine="640" w:firstLineChars="200"/>
        <w:rPr>
          <w:rFonts w:eastAsia="仿宋_GB2312"/>
          <w:sz w:val="20"/>
          <w:szCs w:val="32"/>
        </w:rPr>
      </w:pPr>
      <w:r>
        <w:rPr>
          <w:rFonts w:eastAsia="黑体"/>
          <w:sz w:val="32"/>
          <w:szCs w:val="32"/>
        </w:rPr>
        <w:t>第二部分201</w:t>
      </w:r>
      <w:r>
        <w:rPr>
          <w:rFonts w:hint="eastAsia" w:eastAsia="黑体"/>
          <w:sz w:val="32"/>
          <w:szCs w:val="32"/>
        </w:rPr>
        <w:t>8</w:t>
      </w:r>
      <w:r>
        <w:rPr>
          <w:rFonts w:eastAsia="黑体"/>
          <w:sz w:val="32"/>
          <w:szCs w:val="32"/>
        </w:rPr>
        <w:t>年度部门决算报表</w:t>
      </w:r>
    </w:p>
    <w:p w14:paraId="5F5C7BA0">
      <w:pPr>
        <w:widowControl/>
        <w:spacing w:line="580" w:lineRule="exact"/>
        <w:ind w:left="640" w:firstLine="640" w:firstLineChars="200"/>
        <w:rPr>
          <w:rFonts w:eastAsia="仿宋_GB2312"/>
          <w:sz w:val="32"/>
          <w:szCs w:val="32"/>
        </w:rPr>
      </w:pPr>
      <w:r>
        <w:rPr>
          <w:rFonts w:eastAsia="仿宋_GB2312"/>
          <w:sz w:val="32"/>
          <w:szCs w:val="32"/>
        </w:rPr>
        <w:t>一、收入支出决算总表</w:t>
      </w:r>
    </w:p>
    <w:p w14:paraId="0579E7B8">
      <w:pPr>
        <w:widowControl/>
        <w:spacing w:line="580" w:lineRule="exact"/>
        <w:ind w:left="640" w:firstLine="640" w:firstLineChars="200"/>
        <w:rPr>
          <w:rFonts w:eastAsia="仿宋_GB2312"/>
          <w:sz w:val="32"/>
          <w:szCs w:val="32"/>
        </w:rPr>
      </w:pPr>
      <w:r>
        <w:rPr>
          <w:rFonts w:eastAsia="仿宋_GB2312"/>
          <w:sz w:val="32"/>
          <w:szCs w:val="32"/>
        </w:rPr>
        <w:t>二、收入决算表</w:t>
      </w:r>
    </w:p>
    <w:p w14:paraId="15053966">
      <w:pPr>
        <w:widowControl/>
        <w:spacing w:line="580" w:lineRule="exact"/>
        <w:ind w:left="640" w:firstLine="640" w:firstLineChars="200"/>
        <w:rPr>
          <w:rFonts w:eastAsia="仿宋_GB2312"/>
          <w:sz w:val="32"/>
          <w:szCs w:val="32"/>
        </w:rPr>
      </w:pPr>
      <w:r>
        <w:rPr>
          <w:rFonts w:eastAsia="仿宋_GB2312"/>
          <w:sz w:val="32"/>
          <w:szCs w:val="32"/>
        </w:rPr>
        <w:t>三、支出决算表</w:t>
      </w:r>
    </w:p>
    <w:p w14:paraId="32045A30">
      <w:pPr>
        <w:widowControl/>
        <w:spacing w:line="580" w:lineRule="exact"/>
        <w:ind w:left="640" w:firstLine="640" w:firstLineChars="200"/>
        <w:rPr>
          <w:rFonts w:eastAsia="仿宋_GB2312"/>
          <w:sz w:val="32"/>
          <w:szCs w:val="32"/>
        </w:rPr>
      </w:pPr>
      <w:r>
        <w:rPr>
          <w:rFonts w:eastAsia="仿宋_GB2312"/>
          <w:sz w:val="32"/>
          <w:szCs w:val="32"/>
        </w:rPr>
        <w:t>四、财政拨款收入支出决算总表</w:t>
      </w:r>
    </w:p>
    <w:p w14:paraId="3AD172EA">
      <w:pPr>
        <w:widowControl/>
        <w:spacing w:line="580" w:lineRule="exact"/>
        <w:ind w:left="640" w:firstLine="640" w:firstLineChars="200"/>
        <w:rPr>
          <w:rFonts w:eastAsia="仿宋_GB2312"/>
          <w:sz w:val="32"/>
          <w:szCs w:val="32"/>
        </w:rPr>
      </w:pPr>
      <w:r>
        <w:rPr>
          <w:rFonts w:eastAsia="仿宋_GB2312"/>
          <w:sz w:val="32"/>
          <w:szCs w:val="32"/>
        </w:rPr>
        <w:t>五、一般公共预算财政拨款支出决算表</w:t>
      </w:r>
    </w:p>
    <w:p w14:paraId="36864CAD">
      <w:pPr>
        <w:widowControl/>
        <w:spacing w:line="580" w:lineRule="exact"/>
        <w:ind w:left="640" w:firstLine="640" w:firstLineChars="200"/>
        <w:rPr>
          <w:rFonts w:eastAsia="仿宋_GB2312"/>
          <w:sz w:val="32"/>
          <w:szCs w:val="32"/>
        </w:rPr>
      </w:pPr>
      <w:r>
        <w:rPr>
          <w:rFonts w:eastAsia="仿宋_GB2312"/>
          <w:sz w:val="32"/>
          <w:szCs w:val="32"/>
        </w:rPr>
        <w:t>六、一般公共预算财政拨款基本支出决算表</w:t>
      </w:r>
    </w:p>
    <w:p w14:paraId="717F6A3E">
      <w:pPr>
        <w:widowControl/>
        <w:spacing w:line="580" w:lineRule="exact"/>
        <w:ind w:left="640" w:firstLine="640" w:firstLineChars="200"/>
        <w:rPr>
          <w:rFonts w:eastAsia="仿宋_GB2312"/>
          <w:sz w:val="32"/>
          <w:szCs w:val="32"/>
        </w:rPr>
      </w:pPr>
      <w:r>
        <w:rPr>
          <w:rFonts w:eastAsia="仿宋_GB2312"/>
          <w:sz w:val="32"/>
          <w:szCs w:val="32"/>
        </w:rPr>
        <w:t>七、</w:t>
      </w:r>
      <w:r>
        <w:rPr>
          <w:rFonts w:hint="eastAsia" w:eastAsia="仿宋_GB2312"/>
          <w:sz w:val="32"/>
          <w:szCs w:val="32"/>
        </w:rPr>
        <w:t>一般公共预算财政拨款</w:t>
      </w:r>
      <w:r>
        <w:rPr>
          <w:rFonts w:eastAsia="仿宋_GB2312"/>
          <w:sz w:val="32"/>
          <w:szCs w:val="32"/>
        </w:rPr>
        <w:t>“三公”经费</w:t>
      </w:r>
      <w:r>
        <w:rPr>
          <w:rFonts w:hint="eastAsia" w:eastAsia="仿宋_GB2312"/>
          <w:sz w:val="32"/>
          <w:szCs w:val="32"/>
        </w:rPr>
        <w:t>支出决算表</w:t>
      </w:r>
    </w:p>
    <w:p w14:paraId="199626C6">
      <w:pPr>
        <w:widowControl/>
        <w:spacing w:line="580" w:lineRule="exact"/>
        <w:ind w:left="640" w:firstLine="640" w:firstLineChars="200"/>
        <w:rPr>
          <w:rFonts w:eastAsia="仿宋_GB2312"/>
          <w:sz w:val="32"/>
          <w:szCs w:val="32"/>
        </w:rPr>
      </w:pPr>
      <w:r>
        <w:rPr>
          <w:rFonts w:hint="eastAsia" w:eastAsia="仿宋_GB2312"/>
          <w:sz w:val="32"/>
          <w:szCs w:val="32"/>
        </w:rPr>
        <w:t>八、</w:t>
      </w:r>
      <w:r>
        <w:rPr>
          <w:rFonts w:eastAsia="仿宋_GB2312"/>
          <w:sz w:val="32"/>
          <w:szCs w:val="32"/>
        </w:rPr>
        <w:t>政府性基金预算财政拨款收入支出决算表</w:t>
      </w:r>
    </w:p>
    <w:p w14:paraId="72EC91C3">
      <w:pPr>
        <w:widowControl/>
        <w:spacing w:line="580" w:lineRule="exact"/>
        <w:ind w:left="640" w:firstLine="640" w:firstLineChars="200"/>
        <w:rPr>
          <w:rFonts w:eastAsia="仿宋_GB2312"/>
          <w:sz w:val="32"/>
          <w:szCs w:val="32"/>
        </w:rPr>
      </w:pPr>
      <w:r>
        <w:rPr>
          <w:rFonts w:hint="eastAsia" w:ascii="黑体" w:hAnsi="Cambria" w:eastAsia="黑体" w:cs="黑体"/>
          <w:kern w:val="0"/>
          <w:sz w:val="32"/>
          <w:szCs w:val="32"/>
        </w:rPr>
        <w:drawing>
          <wp:anchor distT="0" distB="0" distL="114300" distR="114300" simplePos="0" relativeHeight="251679744" behindDoc="0" locked="0" layoutInCell="1" allowOverlap="1">
            <wp:simplePos x="0" y="0"/>
            <wp:positionH relativeFrom="column">
              <wp:posOffset>-857250</wp:posOffset>
            </wp:positionH>
            <wp:positionV relativeFrom="page">
              <wp:posOffset>248285</wp:posOffset>
            </wp:positionV>
            <wp:extent cx="3123565" cy="847725"/>
            <wp:effectExtent l="0" t="0" r="635" b="9525"/>
            <wp:wrapSquare wrapText="bothSides"/>
            <wp:docPr id="11" name="图片 11"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7"/>
                    <pic:cNvPicPr>
                      <a:picLocks noChangeAspect="1"/>
                    </pic:cNvPicPr>
                  </pic:nvPicPr>
                  <pic:blipFill>
                    <a:blip r:embed="rId9" cstate="print"/>
                    <a:stretch>
                      <a:fillRect/>
                    </a:stretch>
                  </pic:blipFill>
                  <pic:spPr>
                    <a:xfrm>
                      <a:off x="0" y="0"/>
                      <a:ext cx="3123565" cy="847725"/>
                    </a:xfrm>
                    <a:prstGeom prst="rect">
                      <a:avLst/>
                    </a:prstGeom>
                  </pic:spPr>
                </pic:pic>
              </a:graphicData>
            </a:graphic>
          </wp:anchor>
        </w:drawing>
      </w:r>
      <w:r>
        <w:rPr>
          <w:rFonts w:hint="eastAsia" w:eastAsia="仿宋_GB2312"/>
          <w:sz w:val="32"/>
          <w:szCs w:val="32"/>
        </w:rPr>
        <w:t>九</w:t>
      </w:r>
      <w:r>
        <w:rPr>
          <w:rFonts w:eastAsia="仿宋_GB2312"/>
          <w:sz w:val="32"/>
          <w:szCs w:val="32"/>
        </w:rPr>
        <w:t>、国有资本经营预算支出决算表</w:t>
      </w:r>
    </w:p>
    <w:p w14:paraId="41491B1C">
      <w:pPr>
        <w:widowControl/>
        <w:spacing w:line="580" w:lineRule="exact"/>
        <w:ind w:left="640" w:firstLine="640" w:firstLineChars="200"/>
        <w:rPr>
          <w:rFonts w:eastAsia="仿宋_GB2312"/>
          <w:sz w:val="32"/>
          <w:szCs w:val="32"/>
        </w:rPr>
      </w:pPr>
      <w:r>
        <w:rPr>
          <w:rFonts w:hint="eastAsia" w:eastAsia="仿宋_GB2312"/>
          <w:sz w:val="32"/>
          <w:szCs w:val="32"/>
        </w:rPr>
        <w:t>十</w:t>
      </w:r>
      <w:r>
        <w:rPr>
          <w:rFonts w:eastAsia="仿宋_GB2312"/>
          <w:sz w:val="32"/>
          <w:szCs w:val="32"/>
        </w:rPr>
        <w:t>、政府采购情况表</w:t>
      </w:r>
    </w:p>
    <w:p w14:paraId="13823DAB">
      <w:pPr>
        <w:widowControl/>
        <w:spacing w:line="580" w:lineRule="exact"/>
        <w:ind w:firstLine="640" w:firstLineChars="200"/>
        <w:rPr>
          <w:rFonts w:eastAsia="黑体"/>
          <w:sz w:val="32"/>
          <w:szCs w:val="32"/>
        </w:rPr>
      </w:pPr>
    </w:p>
    <w:p w14:paraId="385E8C67">
      <w:pPr>
        <w:widowControl/>
        <w:spacing w:line="580" w:lineRule="exact"/>
        <w:ind w:firstLine="640" w:firstLineChars="200"/>
        <w:rPr>
          <w:rFonts w:eastAsia="黑体"/>
          <w:sz w:val="32"/>
          <w:szCs w:val="32"/>
        </w:rPr>
      </w:pPr>
      <w:r>
        <w:rPr>
          <w:rFonts w:eastAsia="黑体"/>
          <w:sz w:val="32"/>
          <w:szCs w:val="32"/>
        </w:rPr>
        <w:t>第三部分</w:t>
      </w:r>
      <w:r>
        <w:rPr>
          <w:rFonts w:hint="eastAsia" w:eastAsia="黑体"/>
          <w:sz w:val="32"/>
          <w:szCs w:val="32"/>
        </w:rPr>
        <w:t>高新国土</w:t>
      </w:r>
      <w:r>
        <w:rPr>
          <w:rFonts w:eastAsia="黑体"/>
          <w:sz w:val="32"/>
          <w:szCs w:val="32"/>
        </w:rPr>
        <w:t>201</w:t>
      </w:r>
      <w:r>
        <w:rPr>
          <w:rFonts w:hint="eastAsia" w:eastAsia="黑体"/>
          <w:sz w:val="32"/>
          <w:szCs w:val="32"/>
        </w:rPr>
        <w:t>8</w:t>
      </w:r>
      <w:r>
        <w:rPr>
          <w:rFonts w:eastAsia="黑体"/>
          <w:sz w:val="32"/>
          <w:szCs w:val="32"/>
        </w:rPr>
        <w:t>年部门决算情况说明</w:t>
      </w:r>
      <w:r>
        <w:rPr>
          <w:sz w:val="44"/>
        </w:rPr>
        <w:pict>
          <v:group id="1031" o:spid="_x0000_s1114" o:spt="203" style="position:absolute;left:0pt;margin-left:-80.8pt;margin-top:38.95pt;height:46.7pt;width:222.8pt;mso-position-vertical-relative:page;z-index:251694080;mso-width-relative:page;mso-height-relative:page;" coordsize="0,203203">
            <o:lock v:ext="edit"/>
            <v:rect id="1032" o:spid="_x0000_s1116" o:spt="1" style="position:absolute;left:4551;top:52615;height:1175;width:8546;" fillcolor="#D8D8D8" filled="t" stroked="f" coordsize="21600,21600">
              <v:path/>
              <v:fill on="t" focussize="0,0"/>
              <v:stroke on="f" weight="2pt" color="#AF7621"/>
              <v:imagedata o:title=""/>
              <o:lock v:ext="edit"/>
            </v:rect>
            <v:rect id="1033" o:spid="_x0000_s1115" o:spt="1" style="position:absolute;left:4577;top:52890;height:1123;width:8324;v-text-anchor:middle;" fillcolor="#AD002D" filled="t" stroked="t" coordsize="21600,21600">
              <v:path/>
              <v:fill on="t" focussize="0,0"/>
              <v:stroke weight="2pt" color="#AF7621"/>
              <v:imagedata o:title=""/>
              <o:lock v:ext="edit"/>
              <v:textbox>
                <w:txbxContent>
                  <w:p w14:paraId="36BFD1E8">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2018年度部门决算☞目 录</w:t>
                    </w:r>
                  </w:p>
                  <w:p w14:paraId="1D2BFC29">
                    <w:pPr>
                      <w:jc w:val="center"/>
                    </w:pPr>
                  </w:p>
                </w:txbxContent>
              </v:textbox>
            </v:rect>
            <w10:anchorlock/>
          </v:group>
        </w:pict>
      </w:r>
    </w:p>
    <w:p w14:paraId="621AA4CA">
      <w:pPr>
        <w:widowControl/>
        <w:spacing w:line="580" w:lineRule="exact"/>
        <w:ind w:left="640" w:firstLine="640" w:firstLineChars="200"/>
        <w:rPr>
          <w:rFonts w:eastAsia="仿宋_GB2312"/>
          <w:sz w:val="32"/>
          <w:szCs w:val="32"/>
        </w:rPr>
      </w:pPr>
      <w:r>
        <w:rPr>
          <w:rFonts w:eastAsia="仿宋_GB2312"/>
          <w:sz w:val="32"/>
          <w:szCs w:val="32"/>
        </w:rPr>
        <w:t>一、收入支出决算总体情况说明</w:t>
      </w:r>
    </w:p>
    <w:p w14:paraId="20ABF6BD">
      <w:pPr>
        <w:widowControl/>
        <w:spacing w:line="580" w:lineRule="exact"/>
        <w:ind w:left="640" w:firstLine="640" w:firstLineChars="200"/>
        <w:rPr>
          <w:rFonts w:eastAsia="仿宋_GB2312"/>
          <w:sz w:val="32"/>
          <w:szCs w:val="32"/>
        </w:rPr>
      </w:pPr>
      <w:r>
        <w:rPr>
          <w:rFonts w:eastAsia="仿宋_GB2312"/>
          <w:sz w:val="32"/>
          <w:szCs w:val="32"/>
        </w:rPr>
        <w:t>二、收入决算情况说明</w:t>
      </w:r>
    </w:p>
    <w:p w14:paraId="16835FD7">
      <w:pPr>
        <w:widowControl/>
        <w:spacing w:line="580" w:lineRule="exact"/>
        <w:ind w:left="640" w:firstLine="640" w:firstLineChars="200"/>
        <w:rPr>
          <w:rFonts w:eastAsia="仿宋_GB2312"/>
          <w:sz w:val="32"/>
          <w:szCs w:val="32"/>
        </w:rPr>
      </w:pPr>
      <w:r>
        <w:rPr>
          <w:rFonts w:eastAsia="仿宋_GB2312"/>
          <w:sz w:val="32"/>
          <w:szCs w:val="32"/>
        </w:rPr>
        <w:t>三、支出决算情况说明</w:t>
      </w:r>
    </w:p>
    <w:p w14:paraId="54A33252">
      <w:pPr>
        <w:widowControl/>
        <w:spacing w:line="580" w:lineRule="exact"/>
        <w:ind w:left="640" w:firstLine="640" w:firstLineChars="200"/>
        <w:rPr>
          <w:rFonts w:eastAsia="仿宋_GB2312"/>
          <w:sz w:val="32"/>
          <w:szCs w:val="32"/>
        </w:rPr>
      </w:pPr>
      <w:r>
        <w:rPr>
          <w:rFonts w:eastAsia="仿宋_GB2312"/>
          <w:sz w:val="32"/>
          <w:szCs w:val="32"/>
        </w:rPr>
        <w:t>四、财政拨款收入支出决算总体情况说明</w:t>
      </w:r>
    </w:p>
    <w:p w14:paraId="43E7DE50">
      <w:pPr>
        <w:widowControl/>
        <w:spacing w:line="580" w:lineRule="exact"/>
        <w:ind w:left="640" w:firstLine="640" w:firstLineChars="200"/>
        <w:rPr>
          <w:rFonts w:eastAsia="仿宋_GB2312"/>
          <w:sz w:val="32"/>
          <w:szCs w:val="32"/>
        </w:rPr>
      </w:pPr>
      <w:r>
        <w:rPr>
          <w:rFonts w:hint="eastAsia" w:eastAsia="仿宋_GB2312"/>
          <w:sz w:val="32"/>
          <w:szCs w:val="32"/>
        </w:rPr>
        <w:t>五、一般公共预算</w:t>
      </w:r>
      <w:r>
        <w:rPr>
          <w:rFonts w:eastAsia="仿宋_GB2312"/>
          <w:sz w:val="32"/>
          <w:szCs w:val="32"/>
        </w:rPr>
        <w:t>“三公”经费支出决算情况说明</w:t>
      </w:r>
    </w:p>
    <w:p w14:paraId="6454B104">
      <w:pPr>
        <w:widowControl/>
        <w:spacing w:line="580" w:lineRule="exact"/>
        <w:ind w:left="640" w:firstLine="640" w:firstLineChars="200"/>
        <w:rPr>
          <w:rFonts w:eastAsia="仿宋_GB2312"/>
          <w:sz w:val="32"/>
          <w:szCs w:val="32"/>
        </w:rPr>
      </w:pPr>
      <w:r>
        <w:rPr>
          <w:rFonts w:hint="eastAsia" w:eastAsia="仿宋_GB2312"/>
          <w:sz w:val="32"/>
          <w:szCs w:val="32"/>
        </w:rPr>
        <w:t>六</w:t>
      </w:r>
      <w:r>
        <w:rPr>
          <w:rFonts w:eastAsia="仿宋_GB2312"/>
          <w:sz w:val="32"/>
          <w:szCs w:val="32"/>
        </w:rPr>
        <w:t>、预算绩效情况说明</w:t>
      </w:r>
    </w:p>
    <w:p w14:paraId="29DBD18C">
      <w:pPr>
        <w:widowControl/>
        <w:spacing w:line="580" w:lineRule="exact"/>
        <w:ind w:left="640" w:firstLine="640" w:firstLineChars="200"/>
        <w:rPr>
          <w:rFonts w:eastAsia="仿宋_GB2312"/>
          <w:sz w:val="32"/>
          <w:szCs w:val="32"/>
        </w:rPr>
      </w:pPr>
      <w:r>
        <w:rPr>
          <w:rFonts w:hint="eastAsia" w:eastAsia="仿宋_GB2312"/>
          <w:sz w:val="32"/>
          <w:szCs w:val="32"/>
        </w:rPr>
        <w:t>七</w:t>
      </w:r>
      <w:r>
        <w:rPr>
          <w:rFonts w:eastAsia="仿宋_GB2312"/>
          <w:sz w:val="32"/>
          <w:szCs w:val="32"/>
        </w:rPr>
        <w:t>、其他重要事项的说明</w:t>
      </w:r>
    </w:p>
    <w:p w14:paraId="39B054D7">
      <w:pPr>
        <w:widowControl/>
        <w:spacing w:line="580" w:lineRule="exact"/>
        <w:ind w:firstLine="640" w:firstLineChars="200"/>
        <w:rPr>
          <w:rFonts w:eastAsia="黑体"/>
          <w:sz w:val="32"/>
          <w:szCs w:val="32"/>
        </w:rPr>
      </w:pPr>
      <w:r>
        <w:rPr>
          <w:rFonts w:eastAsia="黑体"/>
          <w:sz w:val="32"/>
          <w:szCs w:val="32"/>
        </w:rPr>
        <w:t>第四部分名词解释</w:t>
      </w:r>
    </w:p>
    <w:p w14:paraId="4E7444A7">
      <w:pPr>
        <w:widowControl/>
        <w:spacing w:line="580" w:lineRule="exact"/>
        <w:ind w:firstLine="640" w:firstLineChars="200"/>
        <w:rPr>
          <w:rFonts w:eastAsia="黑体"/>
          <w:sz w:val="32"/>
          <w:szCs w:val="32"/>
        </w:rPr>
      </w:pPr>
    </w:p>
    <w:p w14:paraId="7A5AAA7E">
      <w:pPr>
        <w:widowControl/>
        <w:spacing w:line="1200" w:lineRule="exact"/>
        <w:jc w:val="center"/>
        <w:rPr>
          <w:rFonts w:ascii="黑体" w:hAnsi="宋体" w:eastAsia="黑体"/>
          <w:color w:val="FDEFBE"/>
          <w:sz w:val="96"/>
          <w:szCs w:val="96"/>
        </w:rPr>
      </w:pPr>
    </w:p>
    <w:p w14:paraId="4DD08F34">
      <w:pPr>
        <w:widowControl/>
        <w:jc w:val="center"/>
        <w:rPr>
          <w:rFonts w:ascii="黑体" w:hAnsi="宋体" w:eastAsia="黑体"/>
          <w:color w:val="FDEFBE"/>
          <w:sz w:val="96"/>
          <w:szCs w:val="96"/>
        </w:rPr>
      </w:pPr>
    </w:p>
    <w:p w14:paraId="216CD148">
      <w:pPr>
        <w:widowControl/>
        <w:jc w:val="center"/>
        <w:rPr>
          <w:rFonts w:ascii="黑体" w:hAnsi="宋体" w:eastAsia="黑体"/>
          <w:color w:val="FDEFBE"/>
          <w:sz w:val="96"/>
          <w:szCs w:val="96"/>
        </w:rPr>
      </w:pPr>
      <w:r>
        <w:rPr>
          <w:sz w:val="72"/>
        </w:rPr>
        <w:pict>
          <v:rect id="_x0000_s1175" o:spid="_x0000_s1175" o:spt="1" style="position:absolute;left:0pt;margin-left:-97.3pt;margin-top:259.1pt;height:81.7pt;width:613.65pt;z-index:251702272;mso-width-relative:page;mso-height-relative:page;" filled="f" stroked="f" coordsize="21600,21600">
            <v:path/>
            <v:fill on="f" focussize="0,0"/>
            <v:stroke on="f" weight="0.5pt"/>
            <v:imagedata o:title=""/>
            <o:lock v:ext="edit"/>
            <v:textbox>
              <w:txbxContent>
                <w:p w14:paraId="07AE558E">
                  <w:pPr>
                    <w:widowControl/>
                    <w:jc w:val="center"/>
                    <w:rPr>
                      <w:color w:val="FDEFBE"/>
                      <w:sz w:val="96"/>
                      <w:szCs w:val="96"/>
                    </w:rPr>
                  </w:pPr>
                  <w:r>
                    <w:rPr>
                      <w:rFonts w:hint="eastAsia" w:ascii="黑体" w:hAnsi="宋体" w:eastAsia="黑体"/>
                      <w:color w:val="FDEFBE"/>
                      <w:sz w:val="96"/>
                      <w:szCs w:val="96"/>
                    </w:rPr>
                    <w:t>第一部分  部门概况</w:t>
                  </w:r>
                </w:p>
              </w:txbxContent>
            </v:textbox>
          </v:rect>
        </w:pict>
      </w:r>
      <w:r>
        <w:rPr>
          <w:rFonts w:hint="eastAsia" w:ascii="宋体" w:hAnsi="宋体" w:cs="ArialUnicodeMS"/>
          <w:color w:val="000000"/>
          <w:kern w:val="0"/>
        </w:rPr>
        <w:drawing>
          <wp:anchor distT="0" distB="0" distL="0" distR="0" simplePos="0" relativeHeight="251674624" behindDoc="1" locked="0" layoutInCell="1" allowOverlap="1">
            <wp:simplePos x="0" y="0"/>
            <wp:positionH relativeFrom="column">
              <wp:posOffset>-1036320</wp:posOffset>
            </wp:positionH>
            <wp:positionV relativeFrom="paragraph">
              <wp:posOffset>-1351915</wp:posOffset>
            </wp:positionV>
            <wp:extent cx="7585710" cy="10727055"/>
            <wp:effectExtent l="0" t="0" r="15240" b="17145"/>
            <wp:wrapNone/>
            <wp:docPr id="1034" name="图片 12"/>
            <wp:cNvGraphicFramePr/>
            <a:graphic xmlns:a="http://schemas.openxmlformats.org/drawingml/2006/main">
              <a:graphicData uri="http://schemas.openxmlformats.org/drawingml/2006/picture">
                <pic:pic xmlns:pic="http://schemas.openxmlformats.org/drawingml/2006/picture">
                  <pic:nvPicPr>
                    <pic:cNvPr id="1034" name="图片 12"/>
                    <pic:cNvPicPr/>
                  </pic:nvPicPr>
                  <pic:blipFill>
                    <a:blip r:embed="rId10" cstate="print"/>
                    <a:srcRect/>
                    <a:stretch>
                      <a:fillRect/>
                    </a:stretch>
                  </pic:blipFill>
                  <pic:spPr>
                    <a:xfrm>
                      <a:off x="0" y="0"/>
                      <a:ext cx="7585710" cy="10727055"/>
                    </a:xfrm>
                    <a:prstGeom prst="rect">
                      <a:avLst/>
                    </a:prstGeom>
                  </pic:spPr>
                </pic:pic>
              </a:graphicData>
            </a:graphic>
          </wp:anchor>
        </w:drawing>
      </w:r>
    </w:p>
    <w:p w14:paraId="6507018A">
      <w:pPr>
        <w:widowControl/>
        <w:jc w:val="center"/>
        <w:rPr>
          <w:rFonts w:ascii="黑体" w:hAnsi="宋体" w:eastAsia="黑体"/>
          <w:color w:val="FDEFBE"/>
          <w:sz w:val="96"/>
          <w:szCs w:val="96"/>
        </w:rPr>
      </w:pPr>
    </w:p>
    <w:p w14:paraId="055EA959">
      <w:pPr>
        <w:widowControl/>
        <w:jc w:val="center"/>
        <w:rPr>
          <w:color w:val="FDEFBE"/>
          <w:sz w:val="96"/>
          <w:szCs w:val="96"/>
        </w:rPr>
      </w:pPr>
    </w:p>
    <w:p w14:paraId="2AB30EFB">
      <w:pPr>
        <w:widowControl/>
        <w:jc w:val="center"/>
        <w:rPr>
          <w:rFonts w:ascii="黑体" w:hAnsi="宋体" w:eastAsia="黑体"/>
          <w:color w:val="FDEFBE"/>
          <w:sz w:val="96"/>
          <w:szCs w:val="96"/>
        </w:rPr>
      </w:pPr>
    </w:p>
    <w:p w14:paraId="5DF55686">
      <w:pPr>
        <w:widowControl/>
        <w:spacing w:line="580" w:lineRule="exact"/>
        <w:ind w:firstLine="640" w:firstLineChars="200"/>
        <w:rPr>
          <w:rFonts w:eastAsia="黑体"/>
          <w:sz w:val="32"/>
          <w:szCs w:val="32"/>
        </w:rPr>
      </w:pPr>
    </w:p>
    <w:p w14:paraId="6ED01C86">
      <w:pPr>
        <w:widowControl/>
        <w:spacing w:line="580" w:lineRule="exact"/>
        <w:ind w:firstLine="640" w:firstLineChars="200"/>
        <w:rPr>
          <w:rFonts w:eastAsia="黑体"/>
          <w:sz w:val="32"/>
          <w:szCs w:val="32"/>
        </w:rPr>
      </w:pPr>
    </w:p>
    <w:p w14:paraId="5391DC72">
      <w:pPr>
        <w:widowControl/>
        <w:spacing w:line="580" w:lineRule="exact"/>
        <w:ind w:firstLine="640" w:firstLineChars="200"/>
        <w:rPr>
          <w:rFonts w:eastAsia="黑体"/>
          <w:sz w:val="32"/>
          <w:szCs w:val="32"/>
        </w:rPr>
      </w:pPr>
    </w:p>
    <w:p w14:paraId="516DCDFB">
      <w:r>
        <w:br w:type="page"/>
      </w:r>
      <w:r>
        <w:rPr>
          <w:sz w:val="72"/>
        </w:rPr>
        <w:pict>
          <v:rect id="1035" o:spid="_x0000_s1113" o:spt="1" style="position:absolute;left:0pt;margin-left:-97.3pt;margin-top:259.1pt;height:81.7pt;width:613.65pt;z-index:251692032;mso-width-relative:page;mso-height-relative:page;" filled="f" stroked="f" coordsize="21600,21600">
            <v:path/>
            <v:fill on="f" focussize="0,0"/>
            <v:stroke on="f" weight="0.5pt"/>
            <v:imagedata o:title=""/>
            <o:lock v:ext="edit"/>
            <v:textbox>
              <w:txbxContent>
                <w:p w14:paraId="108C0CCB"/>
              </w:txbxContent>
            </v:textbox>
          </v:rect>
        </w:pict>
      </w:r>
    </w:p>
    <w:p w14:paraId="3A11B053">
      <w:pPr>
        <w:pStyle w:val="2"/>
        <w:spacing w:before="0" w:after="0" w:line="600" w:lineRule="exact"/>
        <w:jc w:val="left"/>
        <w:rPr>
          <w:rFonts w:ascii="黑体" w:hAnsi="Cambria" w:eastAsia="黑体" w:cs="黑体"/>
          <w:b w:val="0"/>
          <w:bCs w:val="0"/>
          <w:kern w:val="0"/>
          <w:sz w:val="32"/>
          <w:szCs w:val="32"/>
        </w:rPr>
      </w:pPr>
    </w:p>
    <w:p w14:paraId="5729AB5C">
      <w:pPr>
        <w:pStyle w:val="2"/>
        <w:spacing w:before="0" w:after="0" w:line="600" w:lineRule="exact"/>
        <w:jc w:val="left"/>
        <w:rPr>
          <w:rFonts w:ascii="黑体" w:hAnsi="Cambria" w:eastAsia="黑体" w:cs="黑体"/>
          <w:b w:val="0"/>
          <w:bCs w:val="0"/>
          <w:kern w:val="0"/>
          <w:sz w:val="32"/>
          <w:szCs w:val="32"/>
        </w:rPr>
      </w:pPr>
      <w:r>
        <w:rPr>
          <w:rFonts w:hint="eastAsia" w:ascii="仿宋_GB2312" w:hAnsi="仿宋_GB2312" w:eastAsia="仿宋_GB2312" w:cs="仿宋_GB2312"/>
          <w:sz w:val="32"/>
          <w:szCs w:val="32"/>
        </w:rPr>
        <w:drawing>
          <wp:anchor distT="0" distB="0" distL="114300" distR="114300" simplePos="0" relativeHeight="251673600" behindDoc="0" locked="0" layoutInCell="1" allowOverlap="1">
            <wp:simplePos x="0" y="0"/>
            <wp:positionH relativeFrom="column">
              <wp:posOffset>-560070</wp:posOffset>
            </wp:positionH>
            <wp:positionV relativeFrom="page">
              <wp:posOffset>708025</wp:posOffset>
            </wp:positionV>
            <wp:extent cx="3123565" cy="847725"/>
            <wp:effectExtent l="0" t="0" r="635" b="9525"/>
            <wp:wrapSquare wrapText="bothSides"/>
            <wp:docPr id="12" name="图片 12" descr="图片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7"/>
                    <pic:cNvPicPr>
                      <a:picLocks noChangeAspect="1"/>
                    </pic:cNvPicPr>
                  </pic:nvPicPr>
                  <pic:blipFill>
                    <a:blip r:embed="rId9" cstate="print"/>
                    <a:stretch>
                      <a:fillRect/>
                    </a:stretch>
                  </pic:blipFill>
                  <pic:spPr>
                    <a:xfrm>
                      <a:off x="0" y="0"/>
                      <a:ext cx="3123565" cy="847725"/>
                    </a:xfrm>
                    <a:prstGeom prst="rect">
                      <a:avLst/>
                    </a:prstGeom>
                  </pic:spPr>
                </pic:pic>
              </a:graphicData>
            </a:graphic>
          </wp:anchor>
        </w:drawing>
      </w:r>
      <w:r>
        <w:rPr>
          <w:b w:val="0"/>
          <w:bCs w:val="0"/>
          <w:sz w:val="32"/>
          <w:szCs w:val="32"/>
        </w:rPr>
        <w:pict>
          <v:group id="1036" o:spid="_x0000_s1110" o:spt="203" style="position:absolute;left:0pt;margin-left:-80.8pt;margin-top:39.5pt;height:46.7pt;width:245.25pt;mso-position-vertical-relative:page;z-index:251686912;mso-width-relative:page;mso-height-relative:page;" coordsize="0,203203">
            <o:lock v:ext="edit"/>
            <v:rect id="1037" o:spid="_x0000_s1112" o:spt="1" style="position:absolute;left:4551;top:52615;height:1175;width:8546;" fillcolor="#D8D8D8" filled="t" stroked="f" coordsize="21600,21600">
              <v:path/>
              <v:fill on="t" focussize="0,0"/>
              <v:stroke on="f" weight="2pt" color="#AF7621"/>
              <v:imagedata o:title=""/>
              <o:lock v:ext="edit"/>
            </v:rect>
            <v:rect id="1038" o:spid="_x0000_s1111" o:spt="1" style="position:absolute;left:4577;top:52890;height:1123;width:8324;v-text-anchor:middle;" fillcolor="#AD002D" filled="t" stroked="t" coordsize="21600,21600">
              <v:path/>
              <v:fill on="t" focussize="0,0"/>
              <v:stroke weight="2pt" color="#AF7621"/>
              <v:imagedata o:title=""/>
              <o:lock v:ext="edit"/>
              <v:textbox>
                <w:txbxContent>
                  <w:p w14:paraId="79B3E674">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2018年度部门决算☞部门概况</w:t>
                    </w:r>
                  </w:p>
                  <w:p w14:paraId="4A0E7308">
                    <w:pPr>
                      <w:jc w:val="center"/>
                    </w:pPr>
                  </w:p>
                </w:txbxContent>
              </v:textbox>
            </v:rect>
            <w10:anchorlock/>
          </v:group>
        </w:pict>
      </w:r>
      <w:r>
        <w:rPr>
          <w:rFonts w:hint="eastAsia" w:ascii="黑体" w:hAnsi="Cambria" w:eastAsia="黑体" w:cs="黑体"/>
          <w:b w:val="0"/>
          <w:bCs w:val="0"/>
          <w:kern w:val="0"/>
          <w:sz w:val="32"/>
          <w:szCs w:val="32"/>
        </w:rPr>
        <w:t>一、部门职责</w:t>
      </w:r>
    </w:p>
    <w:p w14:paraId="24B5B305">
      <w:pPr>
        <w:pStyle w:val="6"/>
        <w:spacing w:after="0" w:line="580" w:lineRule="exact"/>
        <w:ind w:firstLine="601"/>
        <w:rPr>
          <w:rFonts w:ascii="仿宋_GB2312" w:hAnsi="仿宋_GB2312" w:eastAsia="仿宋_GB2312" w:cs="仿宋_GB2312"/>
          <w:sz w:val="32"/>
          <w:szCs w:val="32"/>
        </w:rPr>
      </w:pPr>
      <w:r>
        <w:rPr>
          <w:rFonts w:hint="eastAsia" w:ascii="仿宋_GB2312" w:hAnsi="仿宋_GB2312" w:eastAsia="仿宋_GB2312" w:cs="仿宋_GB2312"/>
          <w:sz w:val="32"/>
          <w:szCs w:val="32"/>
        </w:rPr>
        <w:t>①贯彻落实国家、省、市国土资源管理的法律、法规和政策。</w:t>
      </w:r>
    </w:p>
    <w:p w14:paraId="1C08DD18">
      <w:pPr>
        <w:pStyle w:val="6"/>
        <w:spacing w:after="0" w:line="580" w:lineRule="exact"/>
        <w:ind w:firstLine="601"/>
        <w:rPr>
          <w:rFonts w:ascii="仿宋_GB2312" w:hAnsi="仿宋_GB2312" w:eastAsia="仿宋_GB2312" w:cs="仿宋_GB2312"/>
          <w:sz w:val="32"/>
          <w:szCs w:val="32"/>
        </w:rPr>
      </w:pPr>
      <w:r>
        <w:rPr>
          <w:rFonts w:hint="eastAsia" w:ascii="仿宋_GB2312" w:hAnsi="仿宋_GB2312" w:eastAsia="仿宋_GB2312" w:cs="仿宋_GB2312"/>
          <w:sz w:val="32"/>
          <w:szCs w:val="32"/>
        </w:rPr>
        <w:t>②负责国有建设用地的审查、报批工作。建立完善土地市场管理秩序，负责土地使用权的转出让、收购储备等权属管理和监督检查。</w:t>
      </w:r>
    </w:p>
    <w:p w14:paraId="33D1B54D">
      <w:pPr>
        <w:pStyle w:val="6"/>
        <w:spacing w:line="58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③负责辖区内国土资源法律、法规的宣传教育；负责国土资源执法监察工作，及时发现、制止和纠正违法行为，依法查处国土资源违法案件；负责国土资源的统计、档案管理工作。</w:t>
      </w:r>
    </w:p>
    <w:p w14:paraId="0F988498">
      <w:pPr>
        <w:pStyle w:val="6"/>
        <w:spacing w:line="58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④受市局委托，负责本辖区内不动产登记工作。</w:t>
      </w:r>
    </w:p>
    <w:p w14:paraId="3E344AE0">
      <w:pPr>
        <w:pStyle w:val="6"/>
        <w:spacing w:line="58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⑤负责新增农村宅基地用地的申报、审批工作。</w:t>
      </w:r>
    </w:p>
    <w:p w14:paraId="4E597F5D">
      <w:pPr>
        <w:pStyle w:val="6"/>
        <w:spacing w:line="58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⑥负责辖区内土地资源、矿产资源、利用规划、地籍调查、动态监测工作的组织申报及日常管理。</w:t>
      </w:r>
    </w:p>
    <w:p w14:paraId="1FF8E433">
      <w:pPr>
        <w:pStyle w:val="6"/>
        <w:spacing w:line="58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⑦负责城市中心区农用地转用征收方案报备，实施批次报批，耕地保护；负责临时占地的审批工作。</w:t>
      </w:r>
    </w:p>
    <w:p w14:paraId="5B473D10">
      <w:pPr>
        <w:pStyle w:val="6"/>
        <w:spacing w:line="58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⑧负责辖区范围内信访事件的受理，承办上级交办的督办任务，保证信访稳定。</w:t>
      </w:r>
    </w:p>
    <w:p w14:paraId="38FCAD6A">
      <w:pPr>
        <w:pStyle w:val="6"/>
        <w:spacing w:line="58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⑨负责纪律作风的检查，制定工作制度与纪律规范，配合级</w:t>
      </w:r>
    </w:p>
    <w:p w14:paraId="11579BC6">
      <w:pPr>
        <w:pStyle w:val="6"/>
        <w:spacing w:line="240" w:lineRule="auto"/>
        <w:rPr>
          <w:rFonts w:ascii="仿宋_GB2312" w:hAnsi="仿宋_GB2312" w:eastAsia="仿宋_GB2312" w:cs="仿宋_GB2312"/>
          <w:sz w:val="32"/>
          <w:szCs w:val="32"/>
        </w:rPr>
      </w:pPr>
    </w:p>
    <w:p w14:paraId="4633625F">
      <w:pPr>
        <w:pStyle w:val="6"/>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和同级纪委的检查工作。</w:t>
      </w:r>
    </w:p>
    <w:p w14:paraId="645C8543">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⑩承办市局、高新区管委会交办的其它工作任务。</w:t>
      </w:r>
    </w:p>
    <w:p w14:paraId="7060F504">
      <w:pPr>
        <w:pStyle w:val="2"/>
        <w:spacing w:before="0" w:after="0" w:line="600" w:lineRule="exact"/>
        <w:jc w:val="left"/>
        <w:rPr>
          <w:rFonts w:ascii="黑体" w:hAnsi="Cambria" w:eastAsia="黑体" w:cs="黑体"/>
          <w:b w:val="0"/>
          <w:bCs w:val="0"/>
          <w:kern w:val="0"/>
          <w:sz w:val="32"/>
          <w:szCs w:val="32"/>
        </w:rPr>
      </w:pPr>
      <w:r>
        <w:rPr>
          <w:rFonts w:hint="eastAsia" w:ascii="黑体" w:hAnsi="Cambria" w:eastAsia="黑体" w:cs="黑体"/>
          <w:b w:val="0"/>
          <w:bCs w:val="0"/>
          <w:kern w:val="0"/>
          <w:sz w:val="32"/>
          <w:szCs w:val="32"/>
        </w:rPr>
        <w:t>二、机构设置</w:t>
      </w:r>
    </w:p>
    <w:p w14:paraId="487C4F25">
      <w:pPr>
        <w:spacing w:after="0" w:line="560" w:lineRule="exact"/>
        <w:rPr>
          <w:rFonts w:ascii="仿宋_GB2312" w:hAnsi="Cambria" w:eastAsia="仿宋_GB2312" w:cs="ArialUnicodeMS"/>
          <w:kern w:val="0"/>
          <w:sz w:val="32"/>
          <w:szCs w:val="32"/>
        </w:rPr>
      </w:pPr>
      <w:r>
        <w:rPr>
          <w:rFonts w:hint="eastAsia" w:ascii="仿宋_GB2312" w:hAnsi="Cambria" w:eastAsia="仿宋_GB2312" w:cs="ArialUnicodeMS"/>
          <w:kern w:val="0"/>
          <w:sz w:val="32"/>
          <w:szCs w:val="32"/>
        </w:rPr>
        <w:t>从决算编报单位构成看，纳入2018 年度本部门决算汇编范围的独立核算单位（以下简称“单位”）共 1个，具体情况如下：</w:t>
      </w:r>
    </w:p>
    <w:tbl>
      <w:tblPr>
        <w:tblStyle w:val="14"/>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16"/>
        <w:gridCol w:w="2333"/>
        <w:gridCol w:w="2846"/>
      </w:tblGrid>
      <w:tr w14:paraId="006AA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14:paraId="3C9FCCC3">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序号</w:t>
            </w:r>
          </w:p>
        </w:tc>
        <w:tc>
          <w:tcPr>
            <w:tcW w:w="3416" w:type="dxa"/>
            <w:vAlign w:val="center"/>
          </w:tcPr>
          <w:p w14:paraId="55CBCA0F">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单位名称</w:t>
            </w:r>
          </w:p>
        </w:tc>
        <w:tc>
          <w:tcPr>
            <w:tcW w:w="2333" w:type="dxa"/>
            <w:vAlign w:val="center"/>
          </w:tcPr>
          <w:p w14:paraId="023949A2">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单位基本性质</w:t>
            </w:r>
          </w:p>
        </w:tc>
        <w:tc>
          <w:tcPr>
            <w:tcW w:w="2846" w:type="dxa"/>
            <w:vAlign w:val="center"/>
          </w:tcPr>
          <w:p w14:paraId="412CA3FE">
            <w:pPr>
              <w:spacing w:after="0" w:line="560" w:lineRule="exact"/>
              <w:jc w:val="center"/>
              <w:rPr>
                <w:rFonts w:ascii="仿宋_GB2312" w:hAnsi="Cambria" w:eastAsia="仿宋_GB2312" w:cs="ArialUnicodeMS"/>
                <w:b/>
                <w:bCs/>
                <w:kern w:val="0"/>
                <w:sz w:val="28"/>
                <w:szCs w:val="28"/>
              </w:rPr>
            </w:pPr>
            <w:r>
              <w:rPr>
                <w:rFonts w:hint="eastAsia" w:ascii="仿宋_GB2312" w:hAnsi="Cambria" w:eastAsia="仿宋_GB2312" w:cs="ArialUnicodeMS"/>
                <w:b/>
                <w:bCs/>
                <w:kern w:val="0"/>
                <w:sz w:val="28"/>
                <w:szCs w:val="28"/>
              </w:rPr>
              <w:t>经费形式</w:t>
            </w:r>
          </w:p>
        </w:tc>
      </w:tr>
      <w:tr w14:paraId="67CCE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3CA51394">
            <w:pPr>
              <w:spacing w:after="0"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1</w:t>
            </w:r>
          </w:p>
        </w:tc>
        <w:tc>
          <w:tcPr>
            <w:tcW w:w="3416" w:type="dxa"/>
          </w:tcPr>
          <w:p w14:paraId="231C5671">
            <w:pPr>
              <w:spacing w:after="0" w:line="560" w:lineRule="exac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唐山市国土资源局高新技术产业开发区分局</w:t>
            </w:r>
          </w:p>
        </w:tc>
        <w:tc>
          <w:tcPr>
            <w:tcW w:w="2333" w:type="dxa"/>
          </w:tcPr>
          <w:p w14:paraId="47908D9D">
            <w:pPr>
              <w:spacing w:after="0"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参公事业单位</w:t>
            </w:r>
          </w:p>
        </w:tc>
        <w:tc>
          <w:tcPr>
            <w:tcW w:w="2846" w:type="dxa"/>
          </w:tcPr>
          <w:p w14:paraId="1C671437">
            <w:pPr>
              <w:spacing w:after="0" w:line="560" w:lineRule="exact"/>
              <w:jc w:val="center"/>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财政性资金基本保证</w:t>
            </w:r>
          </w:p>
        </w:tc>
      </w:tr>
      <w:tr w14:paraId="73A96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80" w:type="dxa"/>
            <w:gridSpan w:val="4"/>
            <w:tcBorders>
              <w:top w:val="single" w:color="auto" w:sz="4" w:space="0"/>
              <w:left w:val="nil"/>
              <w:bottom w:val="nil"/>
              <w:right w:val="nil"/>
            </w:tcBorders>
            <w:shd w:val="clear" w:color="auto" w:fill="auto"/>
          </w:tcPr>
          <w:p w14:paraId="6550F1AD">
            <w:pPr>
              <w:spacing w:after="0" w:line="560" w:lineRule="exact"/>
              <w:jc w:val="lef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注：1、单位基本性质分为行政单位、参公事业单位、财政补助事业单位、经费自理事业单位四类。</w:t>
            </w:r>
          </w:p>
          <w:p w14:paraId="057B6BAD">
            <w:pPr>
              <w:spacing w:after="0" w:line="560" w:lineRule="exact"/>
              <w:ind w:firstLine="560" w:firstLineChars="200"/>
              <w:jc w:val="left"/>
              <w:rPr>
                <w:rFonts w:ascii="仿宋_GB2312" w:hAnsi="Cambria" w:eastAsia="仿宋_GB2312" w:cs="ArialUnicodeMS"/>
                <w:kern w:val="0"/>
                <w:sz w:val="28"/>
                <w:szCs w:val="28"/>
              </w:rPr>
            </w:pPr>
            <w:r>
              <w:rPr>
                <w:rFonts w:hint="eastAsia" w:ascii="仿宋_GB2312" w:hAnsi="Cambria" w:eastAsia="仿宋_GB2312" w:cs="ArialUnicodeMS"/>
                <w:kern w:val="0"/>
                <w:sz w:val="28"/>
                <w:szCs w:val="28"/>
              </w:rPr>
              <w:t>2、经费形式分为财政拨款、财政性资金基本保证、财政性资金定额或定项补助、财政性资金零补助四类。</w:t>
            </w:r>
          </w:p>
        </w:tc>
      </w:tr>
    </w:tbl>
    <w:p w14:paraId="7805B856">
      <w:pPr>
        <w:spacing w:after="0" w:line="560" w:lineRule="exact"/>
        <w:rPr>
          <w:rFonts w:ascii="仿宋_GB2312" w:hAnsi="Cambria" w:eastAsia="仿宋_GB2312" w:cs="ArialUnicodeMS"/>
          <w:kern w:val="0"/>
          <w:sz w:val="32"/>
          <w:szCs w:val="32"/>
        </w:rPr>
      </w:pPr>
    </w:p>
    <w:p w14:paraId="333B8406">
      <w:pPr>
        <w:widowControl/>
        <w:spacing w:line="560" w:lineRule="exact"/>
        <w:rPr>
          <w:rFonts w:ascii="黑体" w:hAnsi="Cambria" w:eastAsia="黑体" w:cs="MS-UIGothic,Bold"/>
          <w:bCs/>
          <w:kern w:val="0"/>
          <w:sz w:val="52"/>
          <w:szCs w:val="52"/>
        </w:rPr>
      </w:pPr>
    </w:p>
    <w:p w14:paraId="570D73E4">
      <w:pPr>
        <w:widowControl/>
        <w:spacing w:line="560" w:lineRule="exact"/>
        <w:jc w:val="center"/>
        <w:rPr>
          <w:rFonts w:ascii="黑体" w:hAnsi="Cambria" w:eastAsia="黑体" w:cs="MS-UIGothic,Bold"/>
          <w:bCs/>
          <w:kern w:val="0"/>
          <w:sz w:val="52"/>
          <w:szCs w:val="52"/>
        </w:rPr>
        <w:sectPr>
          <w:pgSz w:w="11906" w:h="16838"/>
          <w:pgMar w:top="2098" w:right="1474" w:bottom="1984" w:left="1588" w:header="851" w:footer="992" w:gutter="0"/>
          <w:cols w:space="0" w:num="1"/>
          <w:docGrid w:type="lines" w:linePitch="312" w:charSpace="0"/>
        </w:sectPr>
      </w:pPr>
    </w:p>
    <w:p w14:paraId="6618B3D3">
      <w:pPr>
        <w:widowControl/>
        <w:spacing w:line="560" w:lineRule="exact"/>
        <w:jc w:val="center"/>
        <w:rPr>
          <w:rFonts w:ascii="黑体" w:hAnsi="Cambria" w:eastAsia="黑体" w:cs="MS-UIGothic,Bold"/>
          <w:bCs/>
          <w:kern w:val="0"/>
          <w:sz w:val="52"/>
          <w:szCs w:val="52"/>
        </w:rPr>
      </w:pPr>
      <w:r>
        <w:rPr>
          <w:rFonts w:hint="eastAsia" w:ascii="宋体" w:hAnsi="宋体" w:cs="ArialUnicodeMS"/>
          <w:color w:val="000000"/>
          <w:kern w:val="0"/>
        </w:rPr>
        <w:drawing>
          <wp:anchor distT="0" distB="0" distL="0" distR="0" simplePos="0" relativeHeight="251660288"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039" name="图片 16"/>
            <wp:cNvGraphicFramePr/>
            <a:graphic xmlns:a="http://schemas.openxmlformats.org/drawingml/2006/main">
              <a:graphicData uri="http://schemas.openxmlformats.org/drawingml/2006/picture">
                <pic:pic xmlns:pic="http://schemas.openxmlformats.org/drawingml/2006/picture">
                  <pic:nvPicPr>
                    <pic:cNvPr id="1039" name="图片 16"/>
                    <pic:cNvPicPr/>
                  </pic:nvPicPr>
                  <pic:blipFill>
                    <a:blip r:embed="rId10" cstate="print"/>
                    <a:srcRect/>
                    <a:stretch>
                      <a:fillRect/>
                    </a:stretch>
                  </pic:blipFill>
                  <pic:spPr>
                    <a:xfrm>
                      <a:off x="0" y="0"/>
                      <a:ext cx="7571105" cy="10680065"/>
                    </a:xfrm>
                    <a:prstGeom prst="rect">
                      <a:avLst/>
                    </a:prstGeom>
                  </pic:spPr>
                </pic:pic>
              </a:graphicData>
            </a:graphic>
          </wp:anchor>
        </w:drawing>
      </w:r>
    </w:p>
    <w:p w14:paraId="1DF754A3">
      <w:pPr>
        <w:widowControl/>
        <w:spacing w:line="560" w:lineRule="exact"/>
        <w:jc w:val="center"/>
        <w:rPr>
          <w:rFonts w:ascii="黑体" w:hAnsi="Cambria" w:eastAsia="黑体" w:cs="MS-UIGothic,Bold"/>
          <w:bCs/>
          <w:kern w:val="0"/>
          <w:sz w:val="52"/>
          <w:szCs w:val="52"/>
        </w:rPr>
      </w:pPr>
    </w:p>
    <w:p w14:paraId="3E3BE06D">
      <w:pPr>
        <w:rPr>
          <w:rFonts w:ascii="宋体" w:hAnsi="宋体" w:cs="ArialUnicodeMS"/>
          <w:color w:val="000000"/>
          <w:kern w:val="0"/>
        </w:rPr>
      </w:pPr>
    </w:p>
    <w:p w14:paraId="57A18A2E">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sz w:val="72"/>
        </w:rPr>
        <w:pict>
          <v:rect id="1040" o:spid="_x0000_s1109" o:spt="1" style="position:absolute;left:0pt;margin-left:-73.25pt;margin-top:118.45pt;height:159.1pt;width:596.2pt;z-index:251687936;mso-width-relative:page;mso-height-relative:page;" filled="f" stroked="f" coordsize="21600,21600">
            <v:path/>
            <v:fill on="f" focussize="0,0"/>
            <v:stroke on="f" weight="0.5pt"/>
            <v:imagedata o:title=""/>
            <o:lock v:ext="edit"/>
            <v:textbox>
              <w:txbxContent>
                <w:p w14:paraId="102337F7">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第二部分</w:t>
                  </w:r>
                </w:p>
                <w:p w14:paraId="200AD4C1">
                  <w:pPr>
                    <w:widowControl/>
                    <w:spacing w:line="1200" w:lineRule="exact"/>
                    <w:jc w:val="center"/>
                    <w:rPr>
                      <w:color w:val="FDEFBE"/>
                      <w:sz w:val="96"/>
                      <w:szCs w:val="96"/>
                    </w:rPr>
                  </w:pPr>
                  <w:r>
                    <w:rPr>
                      <w:rFonts w:hint="eastAsia" w:ascii="黑体" w:hAnsi="宋体" w:eastAsia="黑体"/>
                      <w:color w:val="FDEFBE"/>
                      <w:sz w:val="96"/>
                      <w:szCs w:val="96"/>
                    </w:rPr>
                    <w:t>2018年度部门决算报表</w:t>
                  </w:r>
                </w:p>
              </w:txbxContent>
            </v:textbox>
          </v:rect>
        </w:pict>
      </w:r>
    </w:p>
    <w:p w14:paraId="13385A53">
      <w:pPr>
        <w:widowControl/>
        <w:spacing w:after="0" w:line="560" w:lineRule="exact"/>
        <w:ind w:firstLine="562" w:firstLineChars="200"/>
        <w:jc w:val="left"/>
        <w:rPr>
          <w:rFonts w:ascii="仿宋_GB2312" w:hAnsi="宋体" w:eastAsia="仿宋_GB2312"/>
          <w:b/>
          <w:sz w:val="28"/>
          <w:szCs w:val="28"/>
          <w:highlight w:val="yellow"/>
        </w:rPr>
      </w:pPr>
    </w:p>
    <w:p w14:paraId="561C9DFB">
      <w:pPr>
        <w:widowControl/>
        <w:spacing w:after="0" w:line="560" w:lineRule="exact"/>
        <w:ind w:firstLine="562" w:firstLineChars="200"/>
        <w:jc w:val="left"/>
        <w:rPr>
          <w:rFonts w:ascii="仿宋_GB2312" w:hAnsi="宋体" w:eastAsia="仿宋_GB2312"/>
          <w:b/>
          <w:sz w:val="28"/>
          <w:szCs w:val="28"/>
          <w:highlight w:val="yellow"/>
        </w:rPr>
      </w:pPr>
      <w:r>
        <w:rPr>
          <w:rFonts w:hint="eastAsia" w:ascii="仿宋_GB2312" w:hAnsi="宋体" w:eastAsia="仿宋_GB2312"/>
          <w:b/>
          <w:sz w:val="28"/>
          <w:szCs w:val="28"/>
          <w:highlight w:val="yellow"/>
        </w:rPr>
        <w:drawing>
          <wp:anchor distT="0" distB="0" distL="114300" distR="114300" simplePos="0" relativeHeight="251663360" behindDoc="0" locked="0" layoutInCell="1" allowOverlap="1">
            <wp:simplePos x="0" y="0"/>
            <wp:positionH relativeFrom="column">
              <wp:posOffset>1004570</wp:posOffset>
            </wp:positionH>
            <wp:positionV relativeFrom="paragraph">
              <wp:posOffset>118110</wp:posOffset>
            </wp:positionV>
            <wp:extent cx="7628255" cy="8961755"/>
            <wp:effectExtent l="0" t="0" r="10795" b="10795"/>
            <wp:wrapSquare wrapText="bothSides"/>
            <wp:docPr id="4" name="图片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
                    <pic:cNvPicPr>
                      <a:picLocks noChangeAspect="1"/>
                    </pic:cNvPicPr>
                  </pic:nvPicPr>
                  <pic:blipFill>
                    <a:blip r:embed="rId11" cstate="print"/>
                    <a:stretch>
                      <a:fillRect/>
                    </a:stretch>
                  </pic:blipFill>
                  <pic:spPr>
                    <a:xfrm>
                      <a:off x="0" y="0"/>
                      <a:ext cx="7628255" cy="8961755"/>
                    </a:xfrm>
                    <a:prstGeom prst="rect">
                      <a:avLst/>
                    </a:prstGeom>
                  </pic:spPr>
                </pic:pic>
              </a:graphicData>
            </a:graphic>
          </wp:anchor>
        </w:drawing>
      </w:r>
    </w:p>
    <w:p w14:paraId="588A043E">
      <w:pPr>
        <w:widowControl/>
        <w:spacing w:after="0" w:line="560" w:lineRule="exact"/>
        <w:ind w:firstLine="562" w:firstLineChars="200"/>
        <w:jc w:val="left"/>
        <w:rPr>
          <w:rFonts w:ascii="仿宋_GB2312" w:hAnsi="宋体" w:eastAsia="仿宋_GB2312"/>
          <w:b/>
          <w:sz w:val="28"/>
          <w:szCs w:val="28"/>
          <w:highlight w:val="yellow"/>
        </w:rPr>
      </w:pPr>
    </w:p>
    <w:p w14:paraId="760F79CE">
      <w:pPr>
        <w:widowControl/>
        <w:spacing w:after="0" w:line="560" w:lineRule="exact"/>
        <w:ind w:firstLine="562" w:firstLineChars="200"/>
        <w:jc w:val="left"/>
        <w:rPr>
          <w:rFonts w:ascii="仿宋_GB2312" w:hAnsi="宋体" w:eastAsia="仿宋_GB2312"/>
          <w:b/>
          <w:sz w:val="28"/>
          <w:szCs w:val="28"/>
          <w:highlight w:val="yellow"/>
        </w:rPr>
      </w:pPr>
    </w:p>
    <w:p w14:paraId="4A4541DD">
      <w:pPr>
        <w:widowControl/>
        <w:spacing w:after="0" w:line="560" w:lineRule="exact"/>
        <w:ind w:firstLine="562" w:firstLineChars="200"/>
        <w:jc w:val="left"/>
        <w:rPr>
          <w:rFonts w:ascii="仿宋_GB2312" w:hAnsi="宋体" w:eastAsia="仿宋_GB2312"/>
          <w:b/>
          <w:sz w:val="28"/>
          <w:szCs w:val="28"/>
          <w:highlight w:val="yellow"/>
        </w:rPr>
      </w:pPr>
    </w:p>
    <w:p w14:paraId="44159B57">
      <w:pPr>
        <w:widowControl/>
        <w:spacing w:after="0" w:line="560" w:lineRule="exact"/>
        <w:ind w:firstLine="562" w:firstLineChars="200"/>
        <w:jc w:val="left"/>
        <w:rPr>
          <w:rFonts w:ascii="仿宋_GB2312" w:hAnsi="宋体" w:eastAsia="仿宋_GB2312"/>
          <w:b/>
          <w:sz w:val="28"/>
          <w:szCs w:val="28"/>
          <w:highlight w:val="yellow"/>
        </w:rPr>
      </w:pPr>
    </w:p>
    <w:p w14:paraId="0C9A9EC6">
      <w:pPr>
        <w:widowControl/>
        <w:spacing w:after="0" w:line="560" w:lineRule="exact"/>
        <w:ind w:firstLine="562" w:firstLineChars="200"/>
        <w:jc w:val="left"/>
        <w:rPr>
          <w:rFonts w:ascii="仿宋_GB2312" w:hAnsi="宋体" w:eastAsia="仿宋_GB2312"/>
          <w:b/>
          <w:sz w:val="28"/>
          <w:szCs w:val="28"/>
          <w:highlight w:val="yellow"/>
        </w:rPr>
      </w:pPr>
    </w:p>
    <w:p w14:paraId="40050BA6">
      <w:pPr>
        <w:widowControl/>
        <w:spacing w:after="0" w:line="560" w:lineRule="exact"/>
        <w:ind w:firstLine="562" w:firstLineChars="200"/>
        <w:jc w:val="left"/>
        <w:rPr>
          <w:rFonts w:ascii="仿宋_GB2312" w:hAnsi="宋体" w:eastAsia="仿宋_GB2312"/>
          <w:b/>
          <w:sz w:val="28"/>
          <w:szCs w:val="28"/>
          <w:highlight w:val="yellow"/>
        </w:rPr>
      </w:pPr>
    </w:p>
    <w:p w14:paraId="413BF192">
      <w:pPr>
        <w:widowControl/>
        <w:spacing w:after="0" w:line="560" w:lineRule="exact"/>
        <w:ind w:firstLine="562" w:firstLineChars="200"/>
        <w:jc w:val="left"/>
        <w:rPr>
          <w:rFonts w:ascii="仿宋_GB2312" w:hAnsi="宋体" w:eastAsia="仿宋_GB2312"/>
          <w:b/>
          <w:sz w:val="28"/>
          <w:szCs w:val="28"/>
          <w:highlight w:val="yellow"/>
        </w:rPr>
      </w:pPr>
    </w:p>
    <w:p w14:paraId="3A946279">
      <w:pPr>
        <w:widowControl/>
        <w:spacing w:after="0" w:line="560" w:lineRule="exact"/>
        <w:ind w:firstLine="562" w:firstLineChars="200"/>
        <w:jc w:val="left"/>
        <w:rPr>
          <w:rFonts w:ascii="仿宋_GB2312" w:hAnsi="宋体" w:eastAsia="仿宋_GB2312"/>
          <w:b/>
          <w:sz w:val="28"/>
          <w:szCs w:val="28"/>
          <w:highlight w:val="yellow"/>
        </w:rPr>
      </w:pPr>
    </w:p>
    <w:p w14:paraId="1B214E85">
      <w:pPr>
        <w:widowControl/>
        <w:spacing w:after="0" w:line="560" w:lineRule="exact"/>
        <w:ind w:firstLine="562" w:firstLineChars="200"/>
        <w:jc w:val="left"/>
        <w:rPr>
          <w:rFonts w:ascii="仿宋_GB2312" w:hAnsi="宋体" w:eastAsia="仿宋_GB2312"/>
          <w:b/>
          <w:sz w:val="28"/>
          <w:szCs w:val="28"/>
          <w:highlight w:val="yellow"/>
        </w:rPr>
      </w:pPr>
    </w:p>
    <w:p w14:paraId="50C18A11">
      <w:pPr>
        <w:widowControl/>
        <w:spacing w:after="0" w:line="560" w:lineRule="exact"/>
        <w:ind w:firstLine="562" w:firstLineChars="200"/>
        <w:jc w:val="left"/>
        <w:rPr>
          <w:rFonts w:ascii="仿宋_GB2312" w:hAnsi="宋体" w:eastAsia="仿宋_GB2312"/>
          <w:b/>
          <w:sz w:val="28"/>
          <w:szCs w:val="28"/>
          <w:highlight w:val="yellow"/>
        </w:rPr>
      </w:pPr>
    </w:p>
    <w:p w14:paraId="176535B4">
      <w:pPr>
        <w:widowControl/>
        <w:spacing w:after="0" w:line="560" w:lineRule="exact"/>
        <w:ind w:firstLine="562" w:firstLineChars="200"/>
        <w:jc w:val="left"/>
        <w:rPr>
          <w:rFonts w:ascii="仿宋_GB2312" w:hAnsi="宋体" w:eastAsia="仿宋_GB2312"/>
          <w:b/>
          <w:sz w:val="28"/>
          <w:szCs w:val="28"/>
          <w:highlight w:val="yellow"/>
        </w:rPr>
      </w:pPr>
    </w:p>
    <w:p w14:paraId="77B79004">
      <w:pPr>
        <w:widowControl/>
        <w:spacing w:after="0" w:line="560" w:lineRule="exact"/>
        <w:ind w:firstLine="562" w:firstLineChars="200"/>
        <w:jc w:val="left"/>
        <w:rPr>
          <w:rFonts w:ascii="仿宋_GB2312" w:hAnsi="宋体" w:eastAsia="仿宋_GB2312"/>
          <w:b/>
          <w:sz w:val="28"/>
          <w:szCs w:val="28"/>
          <w:highlight w:val="yellow"/>
        </w:rPr>
      </w:pPr>
    </w:p>
    <w:p w14:paraId="5EED64CB">
      <w:pPr>
        <w:widowControl/>
        <w:spacing w:after="0" w:line="560" w:lineRule="exact"/>
        <w:ind w:firstLine="562" w:firstLineChars="200"/>
        <w:jc w:val="left"/>
        <w:rPr>
          <w:rFonts w:ascii="仿宋_GB2312" w:hAnsi="宋体" w:eastAsia="仿宋_GB2312"/>
          <w:b/>
          <w:sz w:val="28"/>
          <w:szCs w:val="28"/>
          <w:highlight w:val="yellow"/>
        </w:rPr>
      </w:pPr>
    </w:p>
    <w:p w14:paraId="317E9AA3">
      <w:pPr>
        <w:widowControl/>
        <w:spacing w:after="0" w:line="560" w:lineRule="exact"/>
        <w:ind w:firstLine="562" w:firstLineChars="200"/>
        <w:jc w:val="left"/>
        <w:rPr>
          <w:rFonts w:ascii="仿宋_GB2312" w:hAnsi="宋体" w:eastAsia="仿宋_GB2312"/>
          <w:b/>
          <w:sz w:val="28"/>
          <w:szCs w:val="28"/>
          <w:highlight w:val="yellow"/>
        </w:rPr>
      </w:pPr>
    </w:p>
    <w:p w14:paraId="1503F559">
      <w:pPr>
        <w:widowControl/>
        <w:spacing w:after="0" w:line="560" w:lineRule="exact"/>
        <w:ind w:firstLine="562" w:firstLineChars="200"/>
        <w:jc w:val="left"/>
        <w:rPr>
          <w:rFonts w:ascii="仿宋_GB2312" w:hAnsi="宋体" w:eastAsia="仿宋_GB2312"/>
          <w:b/>
          <w:sz w:val="28"/>
          <w:szCs w:val="28"/>
          <w:highlight w:val="yellow"/>
        </w:rPr>
        <w:sectPr>
          <w:pgSz w:w="14967" w:h="11906" w:orient="landscape"/>
          <w:pgMar w:top="454" w:right="454" w:bottom="454" w:left="454" w:header="851" w:footer="992" w:gutter="0"/>
          <w:cols w:space="0" w:num="1"/>
          <w:docGrid w:type="lines" w:linePitch="312" w:charSpace="0"/>
        </w:sectPr>
      </w:pPr>
    </w:p>
    <w:p w14:paraId="6BC51D43">
      <w:pPr>
        <w:widowControl/>
        <w:spacing w:after="0" w:line="560" w:lineRule="exact"/>
        <w:jc w:val="left"/>
        <w:rPr>
          <w:rFonts w:ascii="仿宋_GB2312" w:hAnsi="宋体" w:eastAsia="仿宋_GB2312"/>
          <w:b/>
          <w:sz w:val="28"/>
          <w:szCs w:val="28"/>
          <w:highlight w:val="yellow"/>
        </w:rPr>
      </w:pPr>
      <w:r>
        <w:rPr>
          <w:rFonts w:hint="eastAsia" w:ascii="仿宋_GB2312" w:hAnsi="宋体" w:eastAsia="仿宋_GB2312"/>
          <w:b/>
          <w:sz w:val="28"/>
          <w:szCs w:val="28"/>
          <w:highlight w:val="yellow"/>
        </w:rPr>
        <w:drawing>
          <wp:anchor distT="0" distB="0" distL="114300" distR="114300" simplePos="0" relativeHeight="251664384" behindDoc="0" locked="0" layoutInCell="1" allowOverlap="1">
            <wp:simplePos x="0" y="0"/>
            <wp:positionH relativeFrom="column">
              <wp:posOffset>59690</wp:posOffset>
            </wp:positionH>
            <wp:positionV relativeFrom="paragraph">
              <wp:posOffset>842010</wp:posOffset>
            </wp:positionV>
            <wp:extent cx="8124825" cy="5552440"/>
            <wp:effectExtent l="0" t="0" r="9525" b="10160"/>
            <wp:wrapSquare wrapText="bothSides"/>
            <wp:docPr id="5" name="图片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
                    <pic:cNvPicPr>
                      <a:picLocks noChangeAspect="1"/>
                    </pic:cNvPicPr>
                  </pic:nvPicPr>
                  <pic:blipFill>
                    <a:blip r:embed="rId12" cstate="print"/>
                    <a:stretch>
                      <a:fillRect/>
                    </a:stretch>
                  </pic:blipFill>
                  <pic:spPr>
                    <a:xfrm>
                      <a:off x="0" y="0"/>
                      <a:ext cx="8124825" cy="5552440"/>
                    </a:xfrm>
                    <a:prstGeom prst="rect">
                      <a:avLst/>
                    </a:prstGeom>
                  </pic:spPr>
                </pic:pic>
              </a:graphicData>
            </a:graphic>
          </wp:anchor>
        </w:drawing>
      </w:r>
    </w:p>
    <w:p w14:paraId="677E92CD">
      <w:pPr>
        <w:widowControl/>
        <w:spacing w:after="0" w:line="560" w:lineRule="exact"/>
        <w:jc w:val="left"/>
        <w:rPr>
          <w:rFonts w:ascii="仿宋_GB2312" w:hAnsi="宋体" w:eastAsia="仿宋_GB2312"/>
          <w:b/>
          <w:sz w:val="28"/>
          <w:szCs w:val="28"/>
          <w:highlight w:val="yellow"/>
        </w:rPr>
      </w:pPr>
      <w:r>
        <w:rPr>
          <w:rFonts w:hint="eastAsia" w:ascii="仿宋_GB2312" w:hAnsi="宋体" w:eastAsia="仿宋_GB2312"/>
          <w:b/>
          <w:sz w:val="28"/>
          <w:szCs w:val="28"/>
          <w:highlight w:val="yellow"/>
        </w:rPr>
        <w:drawing>
          <wp:anchor distT="0" distB="0" distL="114300" distR="114300" simplePos="0" relativeHeight="251665408" behindDoc="0" locked="0" layoutInCell="1" allowOverlap="1">
            <wp:simplePos x="0" y="0"/>
            <wp:positionH relativeFrom="column">
              <wp:posOffset>-167005</wp:posOffset>
            </wp:positionH>
            <wp:positionV relativeFrom="paragraph">
              <wp:posOffset>-687070</wp:posOffset>
            </wp:positionV>
            <wp:extent cx="8208010" cy="6168390"/>
            <wp:effectExtent l="0" t="0" r="2540" b="3810"/>
            <wp:wrapSquare wrapText="bothSides"/>
            <wp:docPr id="13" name="图片 1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
                    <pic:cNvPicPr>
                      <a:picLocks noChangeAspect="1"/>
                    </pic:cNvPicPr>
                  </pic:nvPicPr>
                  <pic:blipFill>
                    <a:blip r:embed="rId13" cstate="print"/>
                    <a:stretch>
                      <a:fillRect/>
                    </a:stretch>
                  </pic:blipFill>
                  <pic:spPr>
                    <a:xfrm>
                      <a:off x="0" y="0"/>
                      <a:ext cx="8208010" cy="6168390"/>
                    </a:xfrm>
                    <a:prstGeom prst="rect">
                      <a:avLst/>
                    </a:prstGeom>
                  </pic:spPr>
                </pic:pic>
              </a:graphicData>
            </a:graphic>
          </wp:anchor>
        </w:drawing>
      </w:r>
    </w:p>
    <w:p w14:paraId="418AE2F3">
      <w:pPr>
        <w:widowControl/>
        <w:spacing w:after="0" w:line="560" w:lineRule="exact"/>
        <w:jc w:val="left"/>
        <w:rPr>
          <w:rFonts w:ascii="仿宋_GB2312" w:hAnsi="宋体" w:eastAsia="仿宋_GB2312"/>
          <w:b/>
          <w:sz w:val="28"/>
          <w:szCs w:val="28"/>
          <w:highlight w:val="yellow"/>
        </w:rPr>
      </w:pPr>
    </w:p>
    <w:p w14:paraId="4770E889">
      <w:pPr>
        <w:widowControl/>
        <w:spacing w:after="0" w:line="560" w:lineRule="exact"/>
        <w:jc w:val="left"/>
        <w:rPr>
          <w:rFonts w:ascii="仿宋_GB2312" w:hAnsi="宋体" w:eastAsia="仿宋_GB2312"/>
          <w:b/>
          <w:sz w:val="28"/>
          <w:szCs w:val="28"/>
          <w:highlight w:val="yellow"/>
        </w:rPr>
      </w:pPr>
      <w:r>
        <w:rPr>
          <w:rFonts w:hint="eastAsia" w:ascii="仿宋_GB2312" w:hAnsi="宋体" w:eastAsia="仿宋_GB2312"/>
          <w:b/>
          <w:sz w:val="28"/>
          <w:szCs w:val="28"/>
          <w:highlight w:val="yellow"/>
        </w:rPr>
        <w:drawing>
          <wp:anchor distT="0" distB="0" distL="114300" distR="114300" simplePos="0" relativeHeight="251666432" behindDoc="0" locked="0" layoutInCell="1" allowOverlap="1">
            <wp:simplePos x="0" y="0"/>
            <wp:positionH relativeFrom="column">
              <wp:posOffset>0</wp:posOffset>
            </wp:positionH>
            <wp:positionV relativeFrom="paragraph">
              <wp:posOffset>-6440170</wp:posOffset>
            </wp:positionV>
            <wp:extent cx="7653020" cy="6551295"/>
            <wp:effectExtent l="0" t="0" r="5080" b="1905"/>
            <wp:wrapSquare wrapText="bothSides"/>
            <wp:docPr id="14" name="图片 1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4"/>
                    <pic:cNvPicPr>
                      <a:picLocks noChangeAspect="1"/>
                    </pic:cNvPicPr>
                  </pic:nvPicPr>
                  <pic:blipFill>
                    <a:blip r:embed="rId14" cstate="print"/>
                    <a:stretch>
                      <a:fillRect/>
                    </a:stretch>
                  </pic:blipFill>
                  <pic:spPr>
                    <a:xfrm>
                      <a:off x="0" y="0"/>
                      <a:ext cx="7653020" cy="6551295"/>
                    </a:xfrm>
                    <a:prstGeom prst="rect">
                      <a:avLst/>
                    </a:prstGeom>
                  </pic:spPr>
                </pic:pic>
              </a:graphicData>
            </a:graphic>
          </wp:anchor>
        </w:drawing>
      </w:r>
    </w:p>
    <w:p w14:paraId="41BB4727">
      <w:pPr>
        <w:widowControl/>
        <w:spacing w:after="0" w:line="560" w:lineRule="exact"/>
        <w:jc w:val="left"/>
        <w:rPr>
          <w:rFonts w:ascii="仿宋_GB2312" w:hAnsi="宋体" w:eastAsia="仿宋_GB2312"/>
          <w:b/>
          <w:sz w:val="28"/>
          <w:szCs w:val="28"/>
          <w:highlight w:val="yellow"/>
        </w:rPr>
      </w:pPr>
    </w:p>
    <w:p w14:paraId="133A2C50">
      <w:pPr>
        <w:widowControl/>
        <w:spacing w:after="0" w:line="560" w:lineRule="exact"/>
        <w:jc w:val="left"/>
        <w:rPr>
          <w:rFonts w:ascii="仿宋_GB2312" w:hAnsi="宋体" w:eastAsia="仿宋_GB2312"/>
          <w:b/>
          <w:sz w:val="28"/>
          <w:szCs w:val="28"/>
          <w:highlight w:val="yellow"/>
        </w:rPr>
      </w:pPr>
    </w:p>
    <w:p w14:paraId="34A0F226">
      <w:pPr>
        <w:widowControl/>
        <w:spacing w:after="0" w:line="560" w:lineRule="exact"/>
        <w:jc w:val="left"/>
        <w:rPr>
          <w:rFonts w:ascii="仿宋_GB2312" w:hAnsi="宋体" w:eastAsia="仿宋_GB2312"/>
          <w:b/>
          <w:sz w:val="28"/>
          <w:szCs w:val="28"/>
          <w:highlight w:val="yellow"/>
        </w:rPr>
      </w:pPr>
    </w:p>
    <w:p w14:paraId="25B027A8">
      <w:pPr>
        <w:widowControl/>
        <w:spacing w:after="0" w:line="560" w:lineRule="exact"/>
        <w:jc w:val="left"/>
        <w:rPr>
          <w:rFonts w:ascii="仿宋_GB2312" w:hAnsi="宋体" w:eastAsia="仿宋_GB2312"/>
          <w:b/>
          <w:sz w:val="28"/>
          <w:szCs w:val="28"/>
          <w:highlight w:val="yellow"/>
        </w:rPr>
      </w:pPr>
    </w:p>
    <w:p w14:paraId="629A72DF">
      <w:pPr>
        <w:widowControl/>
        <w:spacing w:after="0" w:line="560" w:lineRule="exact"/>
        <w:jc w:val="left"/>
        <w:rPr>
          <w:rFonts w:ascii="仿宋_GB2312" w:hAnsi="宋体" w:eastAsia="仿宋_GB2312"/>
          <w:b/>
          <w:sz w:val="28"/>
          <w:szCs w:val="28"/>
          <w:highlight w:val="yellow"/>
        </w:rPr>
      </w:pPr>
    </w:p>
    <w:p w14:paraId="1911874B">
      <w:pPr>
        <w:widowControl/>
        <w:spacing w:after="0" w:line="560" w:lineRule="exact"/>
        <w:jc w:val="left"/>
        <w:rPr>
          <w:rFonts w:ascii="仿宋_GB2312" w:hAnsi="宋体" w:eastAsia="仿宋_GB2312"/>
          <w:b/>
          <w:sz w:val="28"/>
          <w:szCs w:val="28"/>
          <w:highlight w:val="yellow"/>
        </w:rPr>
      </w:pPr>
    </w:p>
    <w:p w14:paraId="33839400">
      <w:pPr>
        <w:widowControl/>
        <w:spacing w:after="0" w:line="560" w:lineRule="exact"/>
        <w:jc w:val="left"/>
        <w:rPr>
          <w:rFonts w:ascii="仿宋_GB2312" w:hAnsi="宋体" w:eastAsia="仿宋_GB2312"/>
          <w:b/>
          <w:sz w:val="28"/>
          <w:szCs w:val="28"/>
          <w:highlight w:val="yellow"/>
        </w:rPr>
      </w:pPr>
    </w:p>
    <w:p w14:paraId="06C6625E">
      <w:pPr>
        <w:widowControl/>
        <w:spacing w:after="0" w:line="560" w:lineRule="exact"/>
        <w:jc w:val="left"/>
        <w:rPr>
          <w:rFonts w:ascii="仿宋_GB2312" w:hAnsi="宋体" w:eastAsia="仿宋_GB2312"/>
          <w:b/>
          <w:sz w:val="28"/>
          <w:szCs w:val="28"/>
          <w:highlight w:val="yellow"/>
        </w:rPr>
      </w:pPr>
    </w:p>
    <w:p w14:paraId="4ECDD76D">
      <w:pPr>
        <w:widowControl/>
        <w:spacing w:after="0" w:line="560" w:lineRule="exact"/>
        <w:jc w:val="left"/>
        <w:rPr>
          <w:rFonts w:ascii="仿宋_GB2312" w:hAnsi="宋体" w:eastAsia="仿宋_GB2312"/>
          <w:b/>
          <w:sz w:val="28"/>
          <w:szCs w:val="28"/>
          <w:highlight w:val="yellow"/>
        </w:rPr>
      </w:pPr>
    </w:p>
    <w:p w14:paraId="0A15880F">
      <w:pPr>
        <w:widowControl/>
        <w:spacing w:after="0" w:line="560" w:lineRule="exact"/>
        <w:jc w:val="left"/>
        <w:rPr>
          <w:rFonts w:ascii="仿宋_GB2312" w:hAnsi="宋体" w:eastAsia="仿宋_GB2312"/>
          <w:b/>
          <w:sz w:val="28"/>
          <w:szCs w:val="28"/>
          <w:highlight w:val="yellow"/>
        </w:rPr>
      </w:pPr>
    </w:p>
    <w:p w14:paraId="3B6E0600">
      <w:pPr>
        <w:widowControl/>
        <w:spacing w:after="0" w:line="560" w:lineRule="exact"/>
        <w:jc w:val="left"/>
        <w:rPr>
          <w:rFonts w:ascii="仿宋_GB2312" w:hAnsi="宋体" w:eastAsia="仿宋_GB2312"/>
          <w:b/>
          <w:sz w:val="28"/>
          <w:szCs w:val="28"/>
          <w:highlight w:val="yellow"/>
        </w:rPr>
      </w:pPr>
    </w:p>
    <w:p w14:paraId="4C876518">
      <w:pPr>
        <w:widowControl/>
        <w:spacing w:after="0" w:line="560" w:lineRule="exact"/>
        <w:jc w:val="left"/>
        <w:rPr>
          <w:rFonts w:ascii="仿宋_GB2312" w:hAnsi="宋体" w:eastAsia="仿宋_GB2312"/>
          <w:b/>
          <w:sz w:val="28"/>
          <w:szCs w:val="28"/>
          <w:highlight w:val="yellow"/>
        </w:rPr>
      </w:pPr>
    </w:p>
    <w:p w14:paraId="46A3F433">
      <w:pPr>
        <w:widowControl/>
        <w:spacing w:after="0" w:line="560" w:lineRule="exact"/>
        <w:jc w:val="left"/>
        <w:rPr>
          <w:rFonts w:ascii="仿宋_GB2312" w:hAnsi="宋体" w:eastAsia="仿宋_GB2312"/>
          <w:b/>
          <w:sz w:val="28"/>
          <w:szCs w:val="28"/>
          <w:highlight w:val="yellow"/>
        </w:rPr>
      </w:pPr>
    </w:p>
    <w:p w14:paraId="06EC4CB9">
      <w:pPr>
        <w:widowControl/>
        <w:spacing w:after="0" w:line="560" w:lineRule="exact"/>
        <w:jc w:val="left"/>
        <w:rPr>
          <w:rFonts w:ascii="仿宋_GB2312" w:hAnsi="宋体" w:eastAsia="仿宋_GB2312"/>
          <w:b/>
          <w:sz w:val="28"/>
          <w:szCs w:val="28"/>
          <w:highlight w:val="yellow"/>
        </w:rPr>
      </w:pPr>
      <w:r>
        <w:rPr>
          <w:rFonts w:hint="eastAsia" w:ascii="仿宋_GB2312" w:hAnsi="宋体" w:eastAsia="仿宋_GB2312"/>
          <w:b/>
          <w:sz w:val="28"/>
          <w:szCs w:val="28"/>
          <w:highlight w:val="yellow"/>
        </w:rPr>
        <w:drawing>
          <wp:anchor distT="0" distB="0" distL="114300" distR="114300" simplePos="0" relativeHeight="251667456" behindDoc="0" locked="0" layoutInCell="1" allowOverlap="1">
            <wp:simplePos x="0" y="0"/>
            <wp:positionH relativeFrom="column">
              <wp:posOffset>-130810</wp:posOffset>
            </wp:positionH>
            <wp:positionV relativeFrom="paragraph">
              <wp:posOffset>-62865</wp:posOffset>
            </wp:positionV>
            <wp:extent cx="8279765" cy="5467985"/>
            <wp:effectExtent l="0" t="0" r="6985" b="18415"/>
            <wp:wrapSquare wrapText="bothSides"/>
            <wp:docPr id="15" name="图片 1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5"/>
                    <pic:cNvPicPr>
                      <a:picLocks noChangeAspect="1"/>
                    </pic:cNvPicPr>
                  </pic:nvPicPr>
                  <pic:blipFill>
                    <a:blip r:embed="rId15" cstate="print"/>
                    <a:stretch>
                      <a:fillRect/>
                    </a:stretch>
                  </pic:blipFill>
                  <pic:spPr>
                    <a:xfrm>
                      <a:off x="0" y="0"/>
                      <a:ext cx="8279765" cy="5467985"/>
                    </a:xfrm>
                    <a:prstGeom prst="rect">
                      <a:avLst/>
                    </a:prstGeom>
                  </pic:spPr>
                </pic:pic>
              </a:graphicData>
            </a:graphic>
          </wp:anchor>
        </w:drawing>
      </w:r>
    </w:p>
    <w:p w14:paraId="464E0BBD">
      <w:pPr>
        <w:widowControl/>
        <w:spacing w:after="0" w:line="560" w:lineRule="exact"/>
        <w:jc w:val="left"/>
        <w:rPr>
          <w:rFonts w:ascii="仿宋_GB2312" w:hAnsi="宋体" w:eastAsia="仿宋_GB2312"/>
          <w:b/>
          <w:sz w:val="28"/>
          <w:szCs w:val="28"/>
          <w:highlight w:val="yellow"/>
        </w:rPr>
      </w:pPr>
      <w:r>
        <w:rPr>
          <w:rFonts w:hint="eastAsia" w:ascii="仿宋_GB2312" w:hAnsi="宋体" w:eastAsia="仿宋_GB2312"/>
          <w:b/>
          <w:sz w:val="28"/>
          <w:szCs w:val="28"/>
          <w:highlight w:val="yellow"/>
        </w:rPr>
        <w:drawing>
          <wp:anchor distT="0" distB="0" distL="114300" distR="114300" simplePos="0" relativeHeight="251668480" behindDoc="1" locked="0" layoutInCell="1" allowOverlap="1">
            <wp:simplePos x="0" y="0"/>
            <wp:positionH relativeFrom="column">
              <wp:posOffset>0</wp:posOffset>
            </wp:positionH>
            <wp:positionV relativeFrom="paragraph">
              <wp:posOffset>-5278120</wp:posOffset>
            </wp:positionV>
            <wp:extent cx="8112760" cy="6179820"/>
            <wp:effectExtent l="0" t="0" r="2540" b="0"/>
            <wp:wrapTight wrapText="bothSides">
              <wp:wrapPolygon>
                <wp:start x="0" y="0"/>
                <wp:lineTo x="0" y="21507"/>
                <wp:lineTo x="21556" y="21507"/>
                <wp:lineTo x="21556" y="0"/>
                <wp:lineTo x="0" y="0"/>
              </wp:wrapPolygon>
            </wp:wrapTight>
            <wp:docPr id="16" name="图片 1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
                    <pic:cNvPicPr>
                      <a:picLocks noChangeAspect="1"/>
                    </pic:cNvPicPr>
                  </pic:nvPicPr>
                  <pic:blipFill>
                    <a:blip r:embed="rId16" cstate="print"/>
                    <a:stretch>
                      <a:fillRect/>
                    </a:stretch>
                  </pic:blipFill>
                  <pic:spPr>
                    <a:xfrm>
                      <a:off x="0" y="0"/>
                      <a:ext cx="8112760" cy="6179820"/>
                    </a:xfrm>
                    <a:prstGeom prst="rect">
                      <a:avLst/>
                    </a:prstGeom>
                  </pic:spPr>
                </pic:pic>
              </a:graphicData>
            </a:graphic>
          </wp:anchor>
        </w:drawing>
      </w:r>
    </w:p>
    <w:p w14:paraId="520324F1">
      <w:pPr>
        <w:widowControl/>
        <w:spacing w:after="0" w:line="560" w:lineRule="exact"/>
        <w:jc w:val="left"/>
        <w:rPr>
          <w:rFonts w:ascii="仿宋_GB2312" w:hAnsi="宋体" w:eastAsia="仿宋_GB2312"/>
          <w:b/>
          <w:sz w:val="28"/>
          <w:szCs w:val="28"/>
          <w:highlight w:val="yellow"/>
        </w:rPr>
      </w:pPr>
    </w:p>
    <w:p w14:paraId="0E8F2485">
      <w:pPr>
        <w:widowControl/>
        <w:spacing w:after="0" w:line="560" w:lineRule="exact"/>
        <w:jc w:val="left"/>
        <w:rPr>
          <w:rFonts w:ascii="仿宋_GB2312" w:hAnsi="宋体" w:eastAsia="仿宋_GB2312"/>
          <w:b/>
          <w:sz w:val="28"/>
          <w:szCs w:val="28"/>
          <w:highlight w:val="yellow"/>
        </w:rPr>
      </w:pPr>
      <w:r>
        <w:rPr>
          <w:rFonts w:hint="eastAsia" w:ascii="仿宋_GB2312" w:hAnsi="宋体" w:eastAsia="仿宋_GB2312"/>
          <w:b/>
          <w:sz w:val="28"/>
          <w:szCs w:val="28"/>
          <w:highlight w:val="yellow"/>
        </w:rPr>
        <w:drawing>
          <wp:anchor distT="0" distB="0" distL="114300" distR="114300" simplePos="0" relativeHeight="251669504" behindDoc="1" locked="0" layoutInCell="1" allowOverlap="1">
            <wp:simplePos x="0" y="0"/>
            <wp:positionH relativeFrom="column">
              <wp:posOffset>24765</wp:posOffset>
            </wp:positionH>
            <wp:positionV relativeFrom="paragraph">
              <wp:posOffset>27305</wp:posOffset>
            </wp:positionV>
            <wp:extent cx="7851140" cy="4990465"/>
            <wp:effectExtent l="0" t="0" r="16510" b="57785"/>
            <wp:wrapTight wrapText="bothSides">
              <wp:wrapPolygon>
                <wp:start x="0" y="0"/>
                <wp:lineTo x="0" y="21520"/>
                <wp:lineTo x="21541" y="21520"/>
                <wp:lineTo x="21541" y="0"/>
                <wp:lineTo x="0" y="0"/>
              </wp:wrapPolygon>
            </wp:wrapTight>
            <wp:docPr id="17" name="图片 17"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7"/>
                    <pic:cNvPicPr>
                      <a:picLocks noChangeAspect="1"/>
                    </pic:cNvPicPr>
                  </pic:nvPicPr>
                  <pic:blipFill>
                    <a:blip r:embed="rId17" cstate="print"/>
                    <a:stretch>
                      <a:fillRect/>
                    </a:stretch>
                  </pic:blipFill>
                  <pic:spPr>
                    <a:xfrm>
                      <a:off x="0" y="0"/>
                      <a:ext cx="7851140" cy="4990465"/>
                    </a:xfrm>
                    <a:prstGeom prst="rect">
                      <a:avLst/>
                    </a:prstGeom>
                  </pic:spPr>
                </pic:pic>
              </a:graphicData>
            </a:graphic>
          </wp:anchor>
        </w:drawing>
      </w:r>
    </w:p>
    <w:p w14:paraId="6300D15A">
      <w:pPr>
        <w:widowControl/>
        <w:spacing w:after="0" w:line="560" w:lineRule="exact"/>
        <w:jc w:val="left"/>
        <w:rPr>
          <w:rFonts w:ascii="仿宋_GB2312" w:hAnsi="宋体" w:eastAsia="仿宋_GB2312"/>
          <w:b/>
          <w:sz w:val="28"/>
          <w:szCs w:val="28"/>
          <w:highlight w:val="yellow"/>
        </w:rPr>
      </w:pPr>
    </w:p>
    <w:p w14:paraId="781943E3">
      <w:pPr>
        <w:widowControl/>
        <w:spacing w:after="0" w:line="560" w:lineRule="exact"/>
        <w:jc w:val="left"/>
        <w:rPr>
          <w:rFonts w:ascii="仿宋_GB2312" w:hAnsi="宋体" w:eastAsia="仿宋_GB2312"/>
          <w:b/>
          <w:sz w:val="28"/>
          <w:szCs w:val="28"/>
          <w:highlight w:val="yellow"/>
        </w:rPr>
      </w:pPr>
    </w:p>
    <w:p w14:paraId="37B6869D">
      <w:pPr>
        <w:widowControl/>
        <w:spacing w:after="0" w:line="560" w:lineRule="exact"/>
        <w:jc w:val="left"/>
        <w:rPr>
          <w:rFonts w:ascii="仿宋_GB2312" w:hAnsi="宋体" w:eastAsia="仿宋_GB2312"/>
          <w:b/>
          <w:sz w:val="28"/>
          <w:szCs w:val="28"/>
          <w:highlight w:val="yellow"/>
        </w:rPr>
      </w:pPr>
    </w:p>
    <w:p w14:paraId="61D3F157">
      <w:pPr>
        <w:widowControl/>
        <w:spacing w:after="0" w:line="560" w:lineRule="exact"/>
        <w:jc w:val="left"/>
        <w:rPr>
          <w:rFonts w:ascii="仿宋_GB2312" w:hAnsi="宋体" w:eastAsia="仿宋_GB2312"/>
          <w:b/>
          <w:sz w:val="28"/>
          <w:szCs w:val="28"/>
          <w:highlight w:val="yellow"/>
        </w:rPr>
      </w:pPr>
    </w:p>
    <w:p w14:paraId="467849C0">
      <w:pPr>
        <w:widowControl/>
        <w:spacing w:after="0" w:line="560" w:lineRule="exact"/>
        <w:jc w:val="left"/>
        <w:rPr>
          <w:rFonts w:ascii="仿宋_GB2312" w:hAnsi="宋体" w:eastAsia="仿宋_GB2312"/>
          <w:b/>
          <w:sz w:val="28"/>
          <w:szCs w:val="28"/>
          <w:highlight w:val="yellow"/>
        </w:rPr>
      </w:pPr>
    </w:p>
    <w:p w14:paraId="5E79C886">
      <w:pPr>
        <w:widowControl/>
        <w:spacing w:after="0" w:line="560" w:lineRule="exact"/>
        <w:jc w:val="left"/>
        <w:rPr>
          <w:rFonts w:ascii="仿宋_GB2312" w:hAnsi="宋体" w:eastAsia="仿宋_GB2312"/>
          <w:b/>
          <w:sz w:val="28"/>
          <w:szCs w:val="28"/>
          <w:highlight w:val="yellow"/>
        </w:rPr>
      </w:pPr>
    </w:p>
    <w:p w14:paraId="157D9A52">
      <w:pPr>
        <w:widowControl/>
        <w:spacing w:after="0" w:line="560" w:lineRule="exact"/>
        <w:jc w:val="left"/>
        <w:rPr>
          <w:rFonts w:ascii="仿宋_GB2312" w:hAnsi="宋体" w:eastAsia="仿宋_GB2312"/>
          <w:b/>
          <w:sz w:val="28"/>
          <w:szCs w:val="28"/>
          <w:highlight w:val="yellow"/>
        </w:rPr>
      </w:pPr>
    </w:p>
    <w:p w14:paraId="4A0DC31B">
      <w:pPr>
        <w:widowControl/>
        <w:spacing w:after="0" w:line="560" w:lineRule="exact"/>
        <w:jc w:val="left"/>
        <w:rPr>
          <w:rFonts w:ascii="仿宋_GB2312" w:hAnsi="宋体" w:eastAsia="仿宋_GB2312"/>
          <w:b/>
          <w:sz w:val="28"/>
          <w:szCs w:val="28"/>
          <w:highlight w:val="yellow"/>
        </w:rPr>
      </w:pPr>
    </w:p>
    <w:p w14:paraId="6272BDFF">
      <w:pPr>
        <w:widowControl/>
        <w:spacing w:after="0" w:line="560" w:lineRule="exact"/>
        <w:jc w:val="left"/>
        <w:rPr>
          <w:rFonts w:ascii="仿宋_GB2312" w:hAnsi="宋体" w:eastAsia="仿宋_GB2312"/>
          <w:b/>
          <w:sz w:val="28"/>
          <w:szCs w:val="28"/>
          <w:highlight w:val="yellow"/>
        </w:rPr>
      </w:pPr>
    </w:p>
    <w:p w14:paraId="71870BEA">
      <w:pPr>
        <w:widowControl/>
        <w:spacing w:after="0" w:line="560" w:lineRule="exact"/>
        <w:jc w:val="left"/>
        <w:rPr>
          <w:rFonts w:ascii="仿宋_GB2312" w:hAnsi="宋体" w:eastAsia="仿宋_GB2312"/>
          <w:b/>
          <w:sz w:val="28"/>
          <w:szCs w:val="28"/>
          <w:highlight w:val="yellow"/>
        </w:rPr>
      </w:pPr>
    </w:p>
    <w:p w14:paraId="22C40211">
      <w:pPr>
        <w:widowControl/>
        <w:spacing w:after="0" w:line="560" w:lineRule="exact"/>
        <w:jc w:val="left"/>
        <w:rPr>
          <w:rFonts w:ascii="仿宋_GB2312" w:hAnsi="宋体" w:eastAsia="仿宋_GB2312"/>
          <w:b/>
          <w:sz w:val="28"/>
          <w:szCs w:val="28"/>
          <w:highlight w:val="yellow"/>
        </w:rPr>
      </w:pPr>
    </w:p>
    <w:p w14:paraId="2E56D8E7">
      <w:pPr>
        <w:widowControl/>
        <w:spacing w:after="0" w:line="560" w:lineRule="exact"/>
        <w:jc w:val="left"/>
        <w:rPr>
          <w:rFonts w:ascii="仿宋_GB2312" w:hAnsi="宋体" w:eastAsia="仿宋_GB2312"/>
          <w:b/>
          <w:sz w:val="28"/>
          <w:szCs w:val="28"/>
          <w:highlight w:val="yellow"/>
        </w:rPr>
      </w:pPr>
    </w:p>
    <w:p w14:paraId="032AD123">
      <w:pPr>
        <w:widowControl/>
        <w:spacing w:after="0" w:line="560" w:lineRule="exact"/>
        <w:jc w:val="left"/>
        <w:rPr>
          <w:rFonts w:ascii="仿宋_GB2312" w:hAnsi="宋体" w:eastAsia="仿宋_GB2312"/>
          <w:b/>
          <w:sz w:val="28"/>
          <w:szCs w:val="28"/>
          <w:highlight w:val="yellow"/>
        </w:rPr>
      </w:pPr>
    </w:p>
    <w:p w14:paraId="2AADFED5">
      <w:pPr>
        <w:widowControl/>
        <w:spacing w:after="0" w:line="560" w:lineRule="exact"/>
        <w:jc w:val="left"/>
        <w:rPr>
          <w:rFonts w:ascii="仿宋_GB2312" w:hAnsi="宋体" w:eastAsia="仿宋_GB2312"/>
          <w:b/>
          <w:sz w:val="28"/>
          <w:szCs w:val="28"/>
          <w:highlight w:val="yellow"/>
        </w:rPr>
      </w:pPr>
    </w:p>
    <w:p w14:paraId="359E26BF">
      <w:pPr>
        <w:widowControl/>
        <w:spacing w:after="0" w:line="560" w:lineRule="exact"/>
        <w:jc w:val="left"/>
        <w:rPr>
          <w:rFonts w:ascii="仿宋_GB2312" w:hAnsi="宋体" w:eastAsia="仿宋_GB2312"/>
          <w:b/>
          <w:sz w:val="28"/>
          <w:szCs w:val="28"/>
          <w:highlight w:val="yellow"/>
        </w:rPr>
      </w:pPr>
      <w:r>
        <w:rPr>
          <w:rFonts w:hint="eastAsia" w:ascii="仿宋_GB2312" w:hAnsi="宋体" w:eastAsia="仿宋_GB2312"/>
          <w:b/>
          <w:sz w:val="28"/>
          <w:szCs w:val="28"/>
          <w:highlight w:val="yellow"/>
        </w:rPr>
        <w:drawing>
          <wp:anchor distT="0" distB="0" distL="114300" distR="114300" simplePos="0" relativeHeight="251670528" behindDoc="1" locked="0" layoutInCell="1" allowOverlap="1">
            <wp:simplePos x="0" y="0"/>
            <wp:positionH relativeFrom="column">
              <wp:posOffset>0</wp:posOffset>
            </wp:positionH>
            <wp:positionV relativeFrom="paragraph">
              <wp:posOffset>-365760</wp:posOffset>
            </wp:positionV>
            <wp:extent cx="7851140" cy="5515610"/>
            <wp:effectExtent l="0" t="0" r="16510" b="46990"/>
            <wp:wrapTight wrapText="bothSides">
              <wp:wrapPolygon>
                <wp:start x="0" y="0"/>
                <wp:lineTo x="0" y="21560"/>
                <wp:lineTo x="21541" y="21560"/>
                <wp:lineTo x="21541" y="0"/>
                <wp:lineTo x="0" y="0"/>
              </wp:wrapPolygon>
            </wp:wrapTight>
            <wp:docPr id="18" name="图片 18"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8"/>
                    <pic:cNvPicPr>
                      <a:picLocks noChangeAspect="1"/>
                    </pic:cNvPicPr>
                  </pic:nvPicPr>
                  <pic:blipFill>
                    <a:blip r:embed="rId18" cstate="print"/>
                    <a:stretch>
                      <a:fillRect/>
                    </a:stretch>
                  </pic:blipFill>
                  <pic:spPr>
                    <a:xfrm>
                      <a:off x="0" y="0"/>
                      <a:ext cx="7851140" cy="5515610"/>
                    </a:xfrm>
                    <a:prstGeom prst="rect">
                      <a:avLst/>
                    </a:prstGeom>
                  </pic:spPr>
                </pic:pic>
              </a:graphicData>
            </a:graphic>
          </wp:anchor>
        </w:drawing>
      </w:r>
    </w:p>
    <w:p w14:paraId="75A8C275">
      <w:pPr>
        <w:widowControl/>
        <w:spacing w:after="0" w:line="560" w:lineRule="exact"/>
        <w:jc w:val="left"/>
        <w:rPr>
          <w:rFonts w:ascii="仿宋_GB2312" w:hAnsi="宋体" w:eastAsia="仿宋_GB2312"/>
          <w:b/>
          <w:sz w:val="28"/>
          <w:szCs w:val="28"/>
          <w:highlight w:val="yellow"/>
        </w:rPr>
      </w:pPr>
    </w:p>
    <w:p w14:paraId="6742A264">
      <w:pPr>
        <w:widowControl/>
        <w:spacing w:after="0" w:line="560" w:lineRule="exact"/>
        <w:jc w:val="left"/>
        <w:rPr>
          <w:rFonts w:ascii="仿宋_GB2312" w:hAnsi="宋体" w:eastAsia="仿宋_GB2312"/>
          <w:b/>
          <w:sz w:val="28"/>
          <w:szCs w:val="28"/>
          <w:highlight w:val="yellow"/>
        </w:rPr>
      </w:pPr>
    </w:p>
    <w:p w14:paraId="0719FD95">
      <w:pPr>
        <w:widowControl/>
        <w:spacing w:after="0" w:line="560" w:lineRule="exact"/>
        <w:jc w:val="left"/>
        <w:rPr>
          <w:rFonts w:ascii="仿宋_GB2312" w:hAnsi="宋体" w:eastAsia="仿宋_GB2312"/>
          <w:b/>
          <w:sz w:val="28"/>
          <w:szCs w:val="28"/>
          <w:highlight w:val="yellow"/>
        </w:rPr>
      </w:pPr>
    </w:p>
    <w:p w14:paraId="0266FC74">
      <w:pPr>
        <w:widowControl/>
        <w:spacing w:after="0" w:line="560" w:lineRule="exact"/>
        <w:jc w:val="left"/>
        <w:rPr>
          <w:rFonts w:ascii="仿宋_GB2312" w:hAnsi="宋体" w:eastAsia="仿宋_GB2312"/>
          <w:b/>
          <w:sz w:val="28"/>
          <w:szCs w:val="28"/>
          <w:highlight w:val="yellow"/>
        </w:rPr>
      </w:pPr>
    </w:p>
    <w:p w14:paraId="41B15902">
      <w:pPr>
        <w:widowControl/>
        <w:spacing w:after="0" w:line="560" w:lineRule="exact"/>
        <w:jc w:val="left"/>
        <w:rPr>
          <w:rFonts w:ascii="仿宋_GB2312" w:hAnsi="宋体" w:eastAsia="仿宋_GB2312"/>
          <w:b/>
          <w:sz w:val="28"/>
          <w:szCs w:val="28"/>
          <w:highlight w:val="yellow"/>
        </w:rPr>
      </w:pPr>
    </w:p>
    <w:p w14:paraId="7017936F">
      <w:pPr>
        <w:widowControl/>
        <w:spacing w:after="0" w:line="560" w:lineRule="exact"/>
        <w:jc w:val="left"/>
        <w:rPr>
          <w:rFonts w:ascii="仿宋_GB2312" w:hAnsi="宋体" w:eastAsia="仿宋_GB2312"/>
          <w:b/>
          <w:sz w:val="28"/>
          <w:szCs w:val="28"/>
          <w:highlight w:val="yellow"/>
        </w:rPr>
      </w:pPr>
    </w:p>
    <w:p w14:paraId="7724E96C">
      <w:pPr>
        <w:widowControl/>
        <w:spacing w:after="0" w:line="560" w:lineRule="exact"/>
        <w:jc w:val="left"/>
        <w:rPr>
          <w:rFonts w:ascii="仿宋_GB2312" w:hAnsi="宋体" w:eastAsia="仿宋_GB2312"/>
          <w:b/>
          <w:sz w:val="28"/>
          <w:szCs w:val="28"/>
          <w:highlight w:val="yellow"/>
        </w:rPr>
      </w:pPr>
    </w:p>
    <w:p w14:paraId="29643175">
      <w:pPr>
        <w:widowControl/>
        <w:spacing w:after="0" w:line="560" w:lineRule="exact"/>
        <w:jc w:val="left"/>
        <w:rPr>
          <w:rFonts w:ascii="仿宋_GB2312" w:hAnsi="宋体" w:eastAsia="仿宋_GB2312"/>
          <w:b/>
          <w:sz w:val="28"/>
          <w:szCs w:val="28"/>
          <w:highlight w:val="yellow"/>
        </w:rPr>
      </w:pPr>
    </w:p>
    <w:p w14:paraId="61FAB63B">
      <w:pPr>
        <w:widowControl/>
        <w:spacing w:after="0" w:line="560" w:lineRule="exact"/>
        <w:jc w:val="left"/>
        <w:rPr>
          <w:rFonts w:ascii="仿宋_GB2312" w:hAnsi="宋体" w:eastAsia="仿宋_GB2312"/>
          <w:b/>
          <w:sz w:val="28"/>
          <w:szCs w:val="28"/>
          <w:highlight w:val="yellow"/>
        </w:rPr>
      </w:pPr>
    </w:p>
    <w:p w14:paraId="59539C55">
      <w:pPr>
        <w:widowControl/>
        <w:spacing w:after="0" w:line="560" w:lineRule="exact"/>
        <w:jc w:val="left"/>
        <w:rPr>
          <w:rFonts w:ascii="仿宋_GB2312" w:hAnsi="宋体" w:eastAsia="仿宋_GB2312"/>
          <w:b/>
          <w:sz w:val="28"/>
          <w:szCs w:val="28"/>
          <w:highlight w:val="yellow"/>
        </w:rPr>
      </w:pPr>
    </w:p>
    <w:p w14:paraId="62CF6425">
      <w:pPr>
        <w:widowControl/>
        <w:spacing w:after="0" w:line="560" w:lineRule="exact"/>
        <w:jc w:val="left"/>
        <w:rPr>
          <w:rFonts w:ascii="仿宋_GB2312" w:hAnsi="宋体" w:eastAsia="仿宋_GB2312"/>
          <w:b/>
          <w:sz w:val="28"/>
          <w:szCs w:val="28"/>
          <w:highlight w:val="yellow"/>
        </w:rPr>
      </w:pPr>
    </w:p>
    <w:p w14:paraId="1338C381">
      <w:pPr>
        <w:widowControl/>
        <w:spacing w:after="0" w:line="560" w:lineRule="exact"/>
        <w:jc w:val="left"/>
        <w:rPr>
          <w:rFonts w:ascii="仿宋_GB2312" w:hAnsi="宋体" w:eastAsia="仿宋_GB2312"/>
          <w:b/>
          <w:sz w:val="28"/>
          <w:szCs w:val="28"/>
          <w:highlight w:val="yellow"/>
        </w:rPr>
      </w:pPr>
    </w:p>
    <w:p w14:paraId="18DB9A46">
      <w:pPr>
        <w:widowControl/>
        <w:spacing w:after="0" w:line="560" w:lineRule="exact"/>
        <w:jc w:val="left"/>
        <w:rPr>
          <w:rFonts w:ascii="仿宋_GB2312" w:hAnsi="宋体" w:eastAsia="仿宋_GB2312"/>
          <w:b/>
          <w:sz w:val="28"/>
          <w:szCs w:val="28"/>
          <w:highlight w:val="yellow"/>
        </w:rPr>
      </w:pPr>
    </w:p>
    <w:p w14:paraId="144F09F4">
      <w:pPr>
        <w:widowControl/>
        <w:spacing w:after="0" w:line="560" w:lineRule="exact"/>
        <w:jc w:val="left"/>
        <w:rPr>
          <w:rFonts w:ascii="仿宋_GB2312" w:hAnsi="宋体" w:eastAsia="仿宋_GB2312"/>
          <w:b/>
          <w:sz w:val="28"/>
          <w:szCs w:val="28"/>
          <w:highlight w:val="yellow"/>
        </w:rPr>
      </w:pPr>
      <w:r>
        <w:pict>
          <v:shape id="文本框 2" o:spid="_x0000_s1177" o:spt="202" type="#_x0000_t202" style="position:absolute;left:0pt;margin-left:50.8pt;margin-top:221.8pt;height:38.9pt;width:254.85pt;mso-wrap-distance-bottom:3.6pt;mso-wrap-distance-left:9pt;mso-wrap-distance-right:9pt;mso-wrap-distance-top:3.6pt;z-index:251708416;mso-width-relative:margin;mso-height-relative:margin;mso-width-percent:400;" stroked="f" coordsize="21600,21600">
            <v:path/>
            <v:fill focussize="0,0"/>
            <v:stroke on="f" joinstyle="miter"/>
            <v:imagedata o:title=""/>
            <o:lock v:ext="edit"/>
            <v:textbox>
              <w:txbxContent>
                <w:p w14:paraId="00710BD1">
                  <w:r>
                    <w:rPr>
                      <w:rFonts w:hint="eastAsia"/>
                    </w:rPr>
                    <w:t>本部门本年度无相关支出情况，按要求空表列示。</w:t>
                  </w:r>
                </w:p>
              </w:txbxContent>
            </v:textbox>
            <w10:wrap type="square"/>
          </v:shape>
        </w:pict>
      </w:r>
      <w:r>
        <w:rPr>
          <w:rFonts w:hint="eastAsia" w:ascii="仿宋_GB2312" w:hAnsi="宋体" w:eastAsia="仿宋_GB2312"/>
          <w:b/>
          <w:sz w:val="28"/>
          <w:szCs w:val="28"/>
          <w:highlight w:val="yellow"/>
        </w:rPr>
        <w:drawing>
          <wp:anchor distT="0" distB="0" distL="114300" distR="114300" simplePos="0" relativeHeight="251676672" behindDoc="1" locked="0" layoutInCell="1" allowOverlap="1">
            <wp:simplePos x="0" y="0"/>
            <wp:positionH relativeFrom="column">
              <wp:posOffset>55880</wp:posOffset>
            </wp:positionH>
            <wp:positionV relativeFrom="paragraph">
              <wp:posOffset>-198755</wp:posOffset>
            </wp:positionV>
            <wp:extent cx="8256270" cy="5382895"/>
            <wp:effectExtent l="0" t="0" r="11430" b="46355"/>
            <wp:wrapTight wrapText="bothSides">
              <wp:wrapPolygon>
                <wp:start x="0" y="0"/>
                <wp:lineTo x="0" y="21557"/>
                <wp:lineTo x="21530" y="21557"/>
                <wp:lineTo x="21530" y="0"/>
                <wp:lineTo x="0" y="0"/>
              </wp:wrapPolygon>
            </wp:wrapTight>
            <wp:docPr id="19" name="图片 19"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9"/>
                    <pic:cNvPicPr>
                      <a:picLocks noChangeAspect="1"/>
                    </pic:cNvPicPr>
                  </pic:nvPicPr>
                  <pic:blipFill>
                    <a:blip r:embed="rId19" cstate="print"/>
                    <a:stretch>
                      <a:fillRect/>
                    </a:stretch>
                  </pic:blipFill>
                  <pic:spPr>
                    <a:xfrm>
                      <a:off x="0" y="0"/>
                      <a:ext cx="8256270" cy="5382895"/>
                    </a:xfrm>
                    <a:prstGeom prst="rect">
                      <a:avLst/>
                    </a:prstGeom>
                  </pic:spPr>
                </pic:pic>
              </a:graphicData>
            </a:graphic>
          </wp:anchor>
        </w:drawing>
      </w:r>
    </w:p>
    <w:p w14:paraId="353F1A62">
      <w:pPr>
        <w:widowControl/>
        <w:spacing w:after="0" w:line="560" w:lineRule="exact"/>
        <w:jc w:val="left"/>
        <w:rPr>
          <w:rFonts w:ascii="仿宋_GB2312" w:hAnsi="宋体" w:eastAsia="仿宋_GB2312"/>
          <w:b/>
          <w:sz w:val="28"/>
          <w:szCs w:val="28"/>
          <w:highlight w:val="yellow"/>
        </w:rPr>
      </w:pPr>
      <w:r>
        <w:rPr>
          <w:rFonts w:hint="eastAsia" w:ascii="仿宋_GB2312" w:hAnsi="宋体" w:eastAsia="仿宋_GB2312"/>
          <w:b/>
          <w:sz w:val="28"/>
          <w:szCs w:val="28"/>
          <w:highlight w:val="yellow"/>
        </w:rPr>
        <w:drawing>
          <wp:anchor distT="0" distB="0" distL="114300" distR="114300" simplePos="0" relativeHeight="251671552" behindDoc="1" locked="0" layoutInCell="1" allowOverlap="1">
            <wp:simplePos x="0" y="0"/>
            <wp:positionH relativeFrom="column">
              <wp:posOffset>-83185</wp:posOffset>
            </wp:positionH>
            <wp:positionV relativeFrom="paragraph">
              <wp:posOffset>60960</wp:posOffset>
            </wp:positionV>
            <wp:extent cx="8136890" cy="5372100"/>
            <wp:effectExtent l="0" t="0" r="0" b="0"/>
            <wp:wrapTight wrapText="bothSides">
              <wp:wrapPolygon>
                <wp:start x="0" y="0"/>
                <wp:lineTo x="0" y="21523"/>
                <wp:lineTo x="21543" y="21523"/>
                <wp:lineTo x="21543" y="0"/>
                <wp:lineTo x="0" y="0"/>
              </wp:wrapPolygon>
            </wp:wrapTight>
            <wp:docPr id="20" name="图片 20"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0"/>
                    <pic:cNvPicPr>
                      <a:picLocks noChangeAspect="1"/>
                    </pic:cNvPicPr>
                  </pic:nvPicPr>
                  <pic:blipFill>
                    <a:blip r:embed="rId20" cstate="print"/>
                    <a:stretch>
                      <a:fillRect/>
                    </a:stretch>
                  </pic:blipFill>
                  <pic:spPr>
                    <a:xfrm>
                      <a:off x="0" y="0"/>
                      <a:ext cx="8136890" cy="5372100"/>
                    </a:xfrm>
                    <a:prstGeom prst="rect">
                      <a:avLst/>
                    </a:prstGeom>
                  </pic:spPr>
                </pic:pic>
              </a:graphicData>
            </a:graphic>
          </wp:anchor>
        </w:drawing>
      </w:r>
    </w:p>
    <w:p w14:paraId="56E28906">
      <w:pPr>
        <w:widowControl/>
        <w:spacing w:line="1200" w:lineRule="exact"/>
        <w:jc w:val="center"/>
        <w:rPr>
          <w:rFonts w:ascii="黑体" w:hAnsi="宋体" w:eastAsia="黑体"/>
          <w:color w:val="C3BD96" w:themeColor="background2" w:themeShade="BF"/>
          <w:sz w:val="96"/>
          <w:szCs w:val="96"/>
        </w:rPr>
      </w:pPr>
      <w:r>
        <w:rPr>
          <w:rFonts w:hint="eastAsia" w:ascii="宋体" w:hAnsi="宋体" w:cs="ArialUnicodeMS"/>
          <w:color w:val="000000"/>
          <w:kern w:val="0"/>
        </w:rPr>
        <w:drawing>
          <wp:anchor distT="0" distB="0" distL="0" distR="0" simplePos="0" relativeHeight="251675648" behindDoc="1" locked="0" layoutInCell="1" allowOverlap="1">
            <wp:simplePos x="0" y="0"/>
            <wp:positionH relativeFrom="column">
              <wp:posOffset>-1249680</wp:posOffset>
            </wp:positionH>
            <wp:positionV relativeFrom="paragraph">
              <wp:posOffset>-989330</wp:posOffset>
            </wp:positionV>
            <wp:extent cx="10727690" cy="7501255"/>
            <wp:effectExtent l="0" t="0" r="16510" b="4445"/>
            <wp:wrapNone/>
            <wp:docPr id="1" name="图片 21"/>
            <wp:cNvGraphicFramePr/>
            <a:graphic xmlns:a="http://schemas.openxmlformats.org/drawingml/2006/main">
              <a:graphicData uri="http://schemas.openxmlformats.org/drawingml/2006/picture">
                <pic:pic xmlns:pic="http://schemas.openxmlformats.org/drawingml/2006/picture">
                  <pic:nvPicPr>
                    <pic:cNvPr id="1" name="图片 21"/>
                    <pic:cNvPicPr/>
                  </pic:nvPicPr>
                  <pic:blipFill>
                    <a:blip r:embed="rId10" cstate="print"/>
                    <a:srcRect/>
                    <a:stretch>
                      <a:fillRect/>
                    </a:stretch>
                  </pic:blipFill>
                  <pic:spPr>
                    <a:xfrm>
                      <a:off x="0" y="0"/>
                      <a:ext cx="10727690" cy="7501255"/>
                    </a:xfrm>
                    <a:prstGeom prst="rect">
                      <a:avLst/>
                    </a:prstGeom>
                  </pic:spPr>
                </pic:pic>
              </a:graphicData>
            </a:graphic>
          </wp:anchor>
        </w:drawing>
      </w:r>
    </w:p>
    <w:p w14:paraId="2680B7ED">
      <w:pPr>
        <w:widowControl/>
        <w:spacing w:line="1200" w:lineRule="exact"/>
        <w:jc w:val="center"/>
        <w:rPr>
          <w:rFonts w:ascii="黑体" w:hAnsi="宋体" w:eastAsia="黑体"/>
          <w:color w:val="C3BD96" w:themeColor="background2" w:themeShade="BF"/>
          <w:sz w:val="96"/>
          <w:szCs w:val="96"/>
        </w:rPr>
      </w:pPr>
    </w:p>
    <w:p w14:paraId="53D25CBF">
      <w:pPr>
        <w:widowControl/>
        <w:spacing w:line="1200" w:lineRule="exact"/>
        <w:jc w:val="center"/>
        <w:rPr>
          <w:rFonts w:ascii="黑体" w:hAnsi="宋体" w:eastAsia="黑体"/>
          <w:color w:val="C3BD96" w:themeColor="background2" w:themeShade="BF"/>
          <w:sz w:val="96"/>
          <w:szCs w:val="96"/>
        </w:rPr>
      </w:pPr>
      <w:r>
        <w:rPr>
          <w:rFonts w:hint="eastAsia" w:ascii="黑体" w:hAnsi="宋体" w:eastAsia="黑体"/>
          <w:color w:val="C3BD96" w:themeColor="background2" w:themeShade="BF"/>
          <w:sz w:val="96"/>
          <w:szCs w:val="96"/>
        </w:rPr>
        <w:t>第三部分</w:t>
      </w:r>
    </w:p>
    <w:p w14:paraId="2BAF1D6B">
      <w:pPr>
        <w:widowControl/>
        <w:spacing w:line="1200" w:lineRule="exact"/>
        <w:jc w:val="center"/>
        <w:rPr>
          <w:color w:val="C3BD96" w:themeColor="background2" w:themeShade="BF"/>
          <w:sz w:val="96"/>
          <w:szCs w:val="96"/>
        </w:rPr>
      </w:pPr>
      <w:r>
        <w:rPr>
          <w:rFonts w:hint="eastAsia" w:ascii="黑体" w:hAnsi="宋体" w:eastAsia="黑体"/>
          <w:color w:val="C3BD96" w:themeColor="background2" w:themeShade="BF"/>
          <w:sz w:val="96"/>
          <w:szCs w:val="96"/>
        </w:rPr>
        <w:t>部门决算情况说明</w:t>
      </w:r>
    </w:p>
    <w:p w14:paraId="37233609">
      <w:pPr>
        <w:widowControl/>
        <w:spacing w:after="0" w:line="560" w:lineRule="exact"/>
        <w:jc w:val="left"/>
        <w:rPr>
          <w:rFonts w:ascii="仿宋_GB2312" w:hAnsi="宋体" w:eastAsia="仿宋_GB2312"/>
          <w:b/>
          <w:sz w:val="28"/>
          <w:szCs w:val="28"/>
          <w:highlight w:val="yellow"/>
        </w:rPr>
      </w:pPr>
    </w:p>
    <w:p w14:paraId="0493836E">
      <w:pPr>
        <w:widowControl/>
        <w:spacing w:after="0" w:line="560" w:lineRule="exact"/>
        <w:jc w:val="left"/>
        <w:rPr>
          <w:rFonts w:ascii="仿宋_GB2312" w:hAnsi="宋体" w:eastAsia="仿宋_GB2312"/>
          <w:b/>
          <w:sz w:val="28"/>
          <w:szCs w:val="28"/>
          <w:highlight w:val="yellow"/>
        </w:rPr>
      </w:pPr>
    </w:p>
    <w:p w14:paraId="0648BFD6">
      <w:pPr>
        <w:widowControl/>
        <w:spacing w:after="0" w:line="560" w:lineRule="exact"/>
        <w:jc w:val="left"/>
        <w:rPr>
          <w:rFonts w:ascii="仿宋_GB2312" w:hAnsi="宋体" w:eastAsia="仿宋_GB2312"/>
          <w:b/>
          <w:sz w:val="28"/>
          <w:szCs w:val="28"/>
          <w:highlight w:val="yellow"/>
        </w:rPr>
      </w:pPr>
    </w:p>
    <w:p w14:paraId="34A8C6AF">
      <w:pPr>
        <w:widowControl/>
        <w:spacing w:after="0" w:line="560" w:lineRule="exact"/>
        <w:jc w:val="left"/>
        <w:rPr>
          <w:rFonts w:ascii="仿宋_GB2312" w:hAnsi="宋体" w:eastAsia="仿宋_GB2312"/>
          <w:b/>
          <w:sz w:val="28"/>
          <w:szCs w:val="28"/>
          <w:highlight w:val="yellow"/>
        </w:rPr>
      </w:pPr>
    </w:p>
    <w:p w14:paraId="15E05E0A">
      <w:pPr>
        <w:widowControl/>
        <w:spacing w:after="0" w:line="560" w:lineRule="exact"/>
        <w:jc w:val="left"/>
        <w:rPr>
          <w:rFonts w:ascii="仿宋_GB2312" w:hAnsi="宋体" w:eastAsia="仿宋_GB2312"/>
          <w:b/>
          <w:sz w:val="28"/>
          <w:szCs w:val="28"/>
          <w:highlight w:val="yellow"/>
        </w:rPr>
      </w:pPr>
    </w:p>
    <w:p w14:paraId="342E1D76">
      <w:pPr>
        <w:rPr>
          <w:rFonts w:ascii="宋体" w:hAnsi="宋体" w:cs="ArialUnicodeMS"/>
          <w:color w:val="000000"/>
          <w:kern w:val="0"/>
        </w:rPr>
        <w:sectPr>
          <w:pgSz w:w="16838" w:h="11906" w:orient="landscape"/>
          <w:pgMar w:top="1588" w:right="2098" w:bottom="1474" w:left="1984" w:header="851" w:footer="992" w:gutter="0"/>
          <w:cols w:space="0" w:num="1"/>
          <w:docGrid w:type="lines" w:linePitch="312" w:charSpace="0"/>
        </w:sectPr>
      </w:pPr>
      <w:r>
        <w:rPr>
          <w:sz w:val="72"/>
        </w:rPr>
        <w:pict>
          <v:rect id="1072" o:spid="_x0000_s1078" o:spt="1" style="position:absolute;left:0pt;margin-left:47pt;margin-top:89.1pt;height:144.15pt;width:593.4pt;z-index:251688960;mso-width-relative:page;mso-height-relative:page;" filled="f" stroked="f" coordsize="21600,21600">
            <v:path/>
            <v:fill on="f" focussize="0,0"/>
            <v:stroke on="f" weight="0.5pt"/>
            <v:imagedata o:title=""/>
            <o:lock v:ext="edit"/>
            <v:textbox>
              <w:txbxContent>
                <w:p w14:paraId="27B627DB"/>
              </w:txbxContent>
            </v:textbox>
          </v:rect>
        </w:pict>
      </w:r>
    </w:p>
    <w:p w14:paraId="53DC21D6">
      <w:pPr>
        <w:pStyle w:val="3"/>
        <w:spacing w:before="0" w:after="0" w:line="580" w:lineRule="exact"/>
        <w:ind w:firstLine="640" w:firstLineChars="200"/>
        <w:rPr>
          <w:rFonts w:ascii="黑体" w:eastAsia="黑体"/>
          <w:b w:val="0"/>
          <w:bCs w:val="0"/>
        </w:rPr>
      </w:pPr>
      <w:r>
        <w:rPr>
          <w:rFonts w:hint="eastAsia" w:ascii="黑体" w:eastAsia="黑体"/>
          <w:b w:val="0"/>
          <w:bCs w:val="0"/>
        </w:rPr>
        <w:drawing>
          <wp:anchor distT="0" distB="0" distL="114300" distR="114300" simplePos="0" relativeHeight="251672576" behindDoc="0" locked="0" layoutInCell="1" allowOverlap="1">
            <wp:simplePos x="0" y="0"/>
            <wp:positionH relativeFrom="column">
              <wp:posOffset>-451485</wp:posOffset>
            </wp:positionH>
            <wp:positionV relativeFrom="paragraph">
              <wp:posOffset>-727075</wp:posOffset>
            </wp:positionV>
            <wp:extent cx="3588385" cy="871220"/>
            <wp:effectExtent l="0" t="0" r="12065" b="5080"/>
            <wp:wrapSquare wrapText="bothSides"/>
            <wp:docPr id="21" name="图片 21"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11"/>
                    <pic:cNvPicPr>
                      <a:picLocks noChangeAspect="1"/>
                    </pic:cNvPicPr>
                  </pic:nvPicPr>
                  <pic:blipFill>
                    <a:blip r:embed="rId21" cstate="print"/>
                    <a:stretch>
                      <a:fillRect/>
                    </a:stretch>
                  </pic:blipFill>
                  <pic:spPr>
                    <a:xfrm>
                      <a:off x="0" y="0"/>
                      <a:ext cx="3588385" cy="871220"/>
                    </a:xfrm>
                    <a:prstGeom prst="rect">
                      <a:avLst/>
                    </a:prstGeom>
                  </pic:spPr>
                </pic:pic>
              </a:graphicData>
            </a:graphic>
          </wp:anchor>
        </w:drawing>
      </w:r>
    </w:p>
    <w:p w14:paraId="09AD7391">
      <w:pPr>
        <w:pStyle w:val="3"/>
        <w:spacing w:before="0" w:after="0" w:line="580" w:lineRule="exact"/>
        <w:ind w:firstLine="640" w:firstLineChars="200"/>
        <w:rPr>
          <w:rFonts w:ascii="黑体" w:eastAsia="黑体"/>
          <w:b w:val="0"/>
          <w:bCs w:val="0"/>
        </w:rPr>
      </w:pPr>
      <w:r>
        <w:rPr>
          <w:rFonts w:hint="eastAsia" w:ascii="黑体" w:eastAsia="黑体"/>
          <w:b w:val="0"/>
          <w:bCs w:val="0"/>
        </w:rPr>
        <w:t>一、收入</w:t>
      </w:r>
      <w:r>
        <w:rPr>
          <w:rFonts w:hint="eastAsia" w:ascii="黑体" w:hAnsi="Cambria" w:eastAsia="黑体" w:cs="黑体"/>
          <w:b w:val="0"/>
          <w:bCs w:val="0"/>
          <w:kern w:val="0"/>
        </w:rPr>
        <w:t>支出</w:t>
      </w:r>
      <w:r>
        <w:rPr>
          <w:rFonts w:hint="eastAsia" w:ascii="黑体" w:eastAsia="黑体"/>
          <w:b w:val="0"/>
          <w:bCs w:val="0"/>
        </w:rPr>
        <w:t>决算总体情况说明</w:t>
      </w:r>
    </w:p>
    <w:p w14:paraId="795153B2">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本部门2018年度收支总计（含结转和结余）24357.62万元。与2017年度决算相比，收支各增加10415万元，增长74.7%，主要原因是征地拆迁补偿费的增加。</w:t>
      </w:r>
    </w:p>
    <w:p w14:paraId="336BC5C9">
      <w:pPr>
        <w:pStyle w:val="3"/>
        <w:spacing w:before="0" w:after="0" w:line="580" w:lineRule="exact"/>
        <w:ind w:firstLine="640" w:firstLineChars="200"/>
        <w:rPr>
          <w:rFonts w:ascii="黑体" w:eastAsia="黑体"/>
          <w:b w:val="0"/>
          <w:bCs w:val="0"/>
        </w:rPr>
      </w:pPr>
      <w:r>
        <w:rPr>
          <w:rFonts w:hint="eastAsia" w:ascii="黑体" w:eastAsia="黑体"/>
          <w:b w:val="0"/>
          <w:bCs w:val="0"/>
        </w:rPr>
        <w:t>二、收入决算情况说明</w:t>
      </w:r>
    </w:p>
    <w:p w14:paraId="0002A4E9">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本部门2018年度本年收入合计24357.62万元，其中：财政拨款收入24357.62万元，占100%。</w:t>
      </w:r>
    </w:p>
    <w:p w14:paraId="532EDDE7">
      <w:pPr>
        <w:adjustRightInd w:val="0"/>
        <w:snapToGrid w:val="0"/>
        <w:spacing w:after="0" w:line="240" w:lineRule="auto"/>
        <w:rPr>
          <w:rFonts w:ascii="黑体" w:eastAsia="黑体"/>
        </w:rPr>
      </w:pPr>
      <w:r>
        <w:pict>
          <v:group id="1076" o:spid="_x0000_s1072" o:spt="203" style="position:absolute;left:0pt;margin-left:82.15pt;margin-top:12.8pt;height:204.75pt;width:293.05pt;z-index:251691008;mso-width-relative:page;mso-height-relative:page;" coordsize="0,203203">
            <o:lock v:ext="edit"/>
            <v:shape id="1077" o:spid="_x0000_s1074" o:spt="75" type="#_x0000_t75" style="position:absolute;left:6817;top:180284;height:2988;width:5156;" filled="f" o:preferrelative="t" stroked="f" coordsize="21600,21600">
              <v:path/>
              <v:fill on="f" focussize="0,0"/>
              <v:stroke on="f" joinstyle="miter"/>
              <v:imagedata r:id="rId22" cropleft="2130f" croptop="1490f" cropright="1217f" cropbottom="5217f" embosscolor="#FFFFFF" o:title=""/>
              <o:lock v:ext="edit" aspectratio="t"/>
            </v:shape>
            <v:rect id="1078" o:spid="_x0000_s1073" o:spt="1" style="position:absolute;left:7580;top:183134;height:615;width:3630;" stroked="f" coordsize="21600,21600">
              <v:path/>
              <v:fill focussize="0,0"/>
              <v:stroke on="f" weight="0.5pt"/>
              <v:imagedata o:title=""/>
              <o:lock v:ext="edit"/>
              <v:textbox>
                <w:txbxContent>
                  <w:p w14:paraId="10B81A00">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图1：收入构成情况</w:t>
                    </w:r>
                  </w:p>
                  <w:p w14:paraId="17D5A5C8">
                    <w:pPr>
                      <w:rPr>
                        <w:sz w:val="20"/>
                        <w:szCs w:val="22"/>
                      </w:rPr>
                    </w:pPr>
                  </w:p>
                </w:txbxContent>
              </v:textbox>
            </v:rect>
          </v:group>
        </w:pict>
      </w:r>
    </w:p>
    <w:p w14:paraId="496535EA">
      <w:pPr>
        <w:pStyle w:val="3"/>
        <w:spacing w:before="0" w:after="0" w:line="580" w:lineRule="exact"/>
        <w:ind w:firstLine="640" w:firstLineChars="200"/>
        <w:rPr>
          <w:rFonts w:ascii="黑体" w:eastAsia="黑体"/>
          <w:b w:val="0"/>
          <w:bCs w:val="0"/>
        </w:rPr>
      </w:pPr>
      <w:r>
        <w:rPr>
          <w:rFonts w:hint="eastAsia" w:ascii="黑体" w:eastAsia="黑体"/>
          <w:b w:val="0"/>
          <w:bCs w:val="0"/>
        </w:rPr>
        <w:t>三、支出决算情况说明</w:t>
      </w:r>
    </w:p>
    <w:p w14:paraId="1DA7866C">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本部门2018年度本年支出合计16718.53万元，其中：基本支出625.48万元，占3.74%；项目支出16093.04万元，占96.26%；</w:t>
      </w:r>
    </w:p>
    <w:p w14:paraId="5BBBC7CD">
      <w:pPr>
        <w:adjustRightInd w:val="0"/>
        <w:snapToGrid w:val="0"/>
        <w:spacing w:after="0" w:line="580" w:lineRule="exact"/>
        <w:rPr>
          <w:sz w:val="44"/>
        </w:rPr>
      </w:pPr>
      <w:r>
        <w:rPr>
          <w:rFonts w:ascii="仿宋_GB2312" w:hAnsi="仿宋_GB2312" w:eastAsia="仿宋_GB2312" w:cs="仿宋_GB2312"/>
          <w:sz w:val="32"/>
          <w:szCs w:val="32"/>
        </w:rPr>
        <w:pict>
          <v:group id="1082" o:spid="_x0000_s1066" o:spt="203" style="position:absolute;left:0pt;margin-left:-0.55pt;margin-top:29.3pt;height:43.95pt;width:301.85pt;mso-position-horizontal-relative:page;mso-position-vertical-relative:page;z-index:251696128;mso-width-relative:page;mso-height-relative:page;" coordsize="0,203203">
            <o:lock v:ext="edit"/>
            <v:rect id="1083" o:spid="_x0000_s1068" o:spt="1" style="position:absolute;left:4551;top:52615;height:1175;width:8546;" fillcolor="#D8D8D8" filled="t" stroked="f" coordsize="21600,21600">
              <v:path/>
              <v:fill on="t" focussize="0,0"/>
              <v:stroke on="f" weight="2pt" color="#AF7621"/>
              <v:imagedata o:title=""/>
              <o:lock v:ext="edit"/>
            </v:rect>
            <v:rect id="1084" o:spid="_x0000_s1067" o:spt="1" style="position:absolute;left:4577;top:52890;height:1123;width:8324;v-text-anchor:middle;" fillcolor="#AD002D" filled="t" stroked="t" coordsize="21600,21600">
              <v:path/>
              <v:fill on="t" focussize="0,0"/>
              <v:stroke weight="2pt" color="#AF7621"/>
              <v:imagedata o:title=""/>
              <o:lock v:ext="edit"/>
              <v:textbox>
                <w:txbxContent>
                  <w:p w14:paraId="71BEB98A">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14:paraId="577BF07B">
                    <w:pPr>
                      <w:jc w:val="center"/>
                    </w:pPr>
                  </w:p>
                </w:txbxContent>
              </v:textbox>
            </v:rect>
            <w10:anchorlock/>
          </v:group>
        </w:pict>
      </w:r>
      <w:r>
        <w:rPr>
          <w:rFonts w:hint="eastAsia" w:ascii="仿宋_GB2312" w:hAnsi="仿宋_GB2312" w:eastAsia="仿宋_GB2312" w:cs="仿宋_GB2312"/>
          <w:sz w:val="32"/>
          <w:szCs w:val="32"/>
        </w:rPr>
        <w:t>如图1所示：</w:t>
      </w:r>
    </w:p>
    <w:p w14:paraId="39F0C726">
      <w:pPr>
        <w:adjustRightInd w:val="0"/>
        <w:snapToGrid w:val="0"/>
        <w:spacing w:after="0" w:line="580" w:lineRule="exact"/>
        <w:ind w:firstLine="420" w:firstLineChars="200"/>
        <w:rPr>
          <w:sz w:val="44"/>
        </w:rPr>
      </w:pPr>
      <w:r>
        <w:drawing>
          <wp:anchor distT="0" distB="0" distL="114300" distR="114300" simplePos="0" relativeHeight="251681792" behindDoc="0" locked="0" layoutInCell="1" allowOverlap="1">
            <wp:simplePos x="0" y="0"/>
            <wp:positionH relativeFrom="column">
              <wp:posOffset>355600</wp:posOffset>
            </wp:positionH>
            <wp:positionV relativeFrom="paragraph">
              <wp:posOffset>132715</wp:posOffset>
            </wp:positionV>
            <wp:extent cx="4591050" cy="2285365"/>
            <wp:effectExtent l="0" t="0" r="0" b="0"/>
            <wp:wrapSquare wrapText="bothSides"/>
            <wp:docPr id="31"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p w14:paraId="304EBF62">
      <w:pPr>
        <w:adjustRightInd w:val="0"/>
        <w:snapToGrid w:val="0"/>
        <w:spacing w:after="0" w:line="580" w:lineRule="exact"/>
        <w:ind w:firstLine="880" w:firstLineChars="200"/>
        <w:rPr>
          <w:sz w:val="44"/>
        </w:rPr>
      </w:pPr>
    </w:p>
    <w:p w14:paraId="28819B28">
      <w:pPr>
        <w:pStyle w:val="3"/>
        <w:spacing w:before="0" w:after="0" w:line="580" w:lineRule="exact"/>
        <w:ind w:firstLine="640" w:firstLineChars="200"/>
        <w:rPr>
          <w:rFonts w:ascii="黑体" w:eastAsia="黑体"/>
          <w:b w:val="0"/>
          <w:bCs w:val="0"/>
        </w:rPr>
      </w:pPr>
    </w:p>
    <w:p w14:paraId="092F15B2">
      <w:pPr>
        <w:pStyle w:val="3"/>
        <w:spacing w:before="0" w:after="0" w:line="580" w:lineRule="exact"/>
        <w:ind w:firstLine="640" w:firstLineChars="200"/>
        <w:rPr>
          <w:rFonts w:ascii="黑体" w:eastAsia="黑体"/>
          <w:b w:val="0"/>
          <w:bCs w:val="0"/>
        </w:rPr>
      </w:pPr>
    </w:p>
    <w:p w14:paraId="4EB60B2E">
      <w:pPr>
        <w:pStyle w:val="3"/>
        <w:spacing w:before="0" w:after="0" w:line="580" w:lineRule="exact"/>
        <w:ind w:firstLine="640" w:firstLineChars="200"/>
        <w:rPr>
          <w:rFonts w:ascii="黑体" w:eastAsia="黑体"/>
          <w:b w:val="0"/>
          <w:bCs w:val="0"/>
        </w:rPr>
      </w:pPr>
    </w:p>
    <w:p w14:paraId="2DDD9690">
      <w:pPr>
        <w:jc w:val="center"/>
        <w:rPr>
          <w:rFonts w:ascii="黑体" w:eastAsia="黑体"/>
          <w:sz w:val="30"/>
          <w:szCs w:val="30"/>
        </w:rPr>
      </w:pPr>
    </w:p>
    <w:p w14:paraId="597A7B24">
      <w:pPr>
        <w:jc w:val="center"/>
        <w:rPr>
          <w:rFonts w:ascii="黑体" w:eastAsia="黑体"/>
          <w:sz w:val="30"/>
          <w:szCs w:val="30"/>
        </w:rPr>
      </w:pPr>
    </w:p>
    <w:p w14:paraId="2F7645E7">
      <w:pPr>
        <w:jc w:val="center"/>
        <w:rPr>
          <w:rFonts w:ascii="黑体" w:eastAsia="黑体"/>
          <w:sz w:val="30"/>
          <w:szCs w:val="30"/>
        </w:rPr>
      </w:pPr>
      <w:r>
        <w:rPr>
          <w:rFonts w:hint="eastAsia" w:ascii="黑体" w:eastAsia="黑体"/>
          <w:sz w:val="30"/>
          <w:szCs w:val="30"/>
        </w:rPr>
        <w:t>支出构成表</w:t>
      </w:r>
    </w:p>
    <w:p w14:paraId="7F89CA33">
      <w:pPr>
        <w:jc w:val="center"/>
        <w:rPr>
          <w:rFonts w:ascii="黑体" w:eastAsia="黑体"/>
          <w:sz w:val="30"/>
          <w:szCs w:val="30"/>
        </w:rPr>
      </w:pPr>
    </w:p>
    <w:p w14:paraId="2DC40775">
      <w:pPr>
        <w:pStyle w:val="3"/>
        <w:spacing w:before="0" w:after="0" w:line="580" w:lineRule="exact"/>
        <w:rPr>
          <w:rFonts w:ascii="黑体" w:eastAsia="黑体"/>
          <w:b w:val="0"/>
          <w:bCs w:val="0"/>
        </w:rPr>
      </w:pPr>
      <w:r>
        <w:rPr>
          <w:rFonts w:hint="eastAsia" w:ascii="黑体" w:eastAsia="黑体"/>
        </w:rPr>
        <w:drawing>
          <wp:anchor distT="0" distB="0" distL="114300" distR="114300" simplePos="0" relativeHeight="251677696" behindDoc="0" locked="0" layoutInCell="1" allowOverlap="1">
            <wp:simplePos x="0" y="0"/>
            <wp:positionH relativeFrom="column">
              <wp:posOffset>-636270</wp:posOffset>
            </wp:positionH>
            <wp:positionV relativeFrom="paragraph">
              <wp:posOffset>-921385</wp:posOffset>
            </wp:positionV>
            <wp:extent cx="3588385" cy="871220"/>
            <wp:effectExtent l="0" t="0" r="12065" b="5080"/>
            <wp:wrapSquare wrapText="bothSides"/>
            <wp:docPr id="23" name="图片 23"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11"/>
                    <pic:cNvPicPr>
                      <a:picLocks noChangeAspect="1"/>
                    </pic:cNvPicPr>
                  </pic:nvPicPr>
                  <pic:blipFill>
                    <a:blip r:embed="rId21" cstate="print"/>
                    <a:stretch>
                      <a:fillRect/>
                    </a:stretch>
                  </pic:blipFill>
                  <pic:spPr>
                    <a:xfrm>
                      <a:off x="0" y="0"/>
                      <a:ext cx="3588385" cy="871220"/>
                    </a:xfrm>
                    <a:prstGeom prst="rect">
                      <a:avLst/>
                    </a:prstGeom>
                  </pic:spPr>
                </pic:pic>
              </a:graphicData>
            </a:graphic>
          </wp:anchor>
        </w:drawing>
      </w:r>
      <w:r>
        <w:rPr>
          <w:rFonts w:hint="eastAsia" w:ascii="黑体" w:eastAsia="黑体"/>
          <w:b w:val="0"/>
          <w:bCs w:val="0"/>
        </w:rPr>
        <w:t>四、</w:t>
      </w:r>
      <w:r>
        <w:rPr>
          <w:rFonts w:hint="eastAsia" w:ascii="黑体" w:hAnsi="Cambria" w:eastAsia="黑体" w:cs="黑体"/>
          <w:b w:val="0"/>
          <w:bCs w:val="0"/>
          <w:kern w:val="0"/>
        </w:rPr>
        <w:t>财政</w:t>
      </w:r>
      <w:r>
        <w:rPr>
          <w:rFonts w:hint="eastAsia" w:ascii="黑体" w:eastAsia="黑体"/>
          <w:b w:val="0"/>
          <w:bCs w:val="0"/>
        </w:rPr>
        <w:t>拨款收入支出决算总体情况说明</w:t>
      </w:r>
    </w:p>
    <w:p w14:paraId="5E617C6C">
      <w:pPr>
        <w:spacing w:after="0" w:line="58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（一）财政拨款收支与2017 年度决算对比情况</w:t>
      </w:r>
    </w:p>
    <w:p w14:paraId="3E41A1A6">
      <w:pPr>
        <w:adjustRightInd w:val="0"/>
        <w:snapToGrid w:val="0"/>
        <w:spacing w:after="0" w:line="580" w:lineRule="exact"/>
        <w:ind w:firstLine="420" w:firstLineChars="200"/>
        <w:rPr>
          <w:rFonts w:ascii="仿宋_GB2312" w:eastAsia="仿宋_GB2312" w:cs="DengXian-Regular"/>
          <w:sz w:val="32"/>
          <w:szCs w:val="32"/>
        </w:rPr>
      </w:pPr>
      <w:r>
        <w:pict>
          <v:group id="1085" o:spid="_x0000_s1063" o:spt="203" style="position:absolute;left:0pt;margin-left:63.65pt;margin-top:18.05pt;height:210.05pt;width:331.1pt;z-index:-251631616;mso-width-relative:page;mso-height-relative:page;" coordsize="0,203203">
            <o:lock v:ext="edit"/>
            <v:shape id="1086" o:spid="_x0000_s1065" o:spt="75" type="#_x0000_t75" style="position:absolute;left:6532;top:199960;height:3271;width:5714;" filled="f" o:preferrelative="t" stroked="f" coordsize="21600,21600">
              <v:path/>
              <v:fill on="f" focussize="0,0"/>
              <v:stroke on="f" joinstyle="miter"/>
              <v:imagedata r:id="rId24" embosscolor="#FFFFFF" o:title=""/>
              <o:lock v:ext="edit" aspectratio="t"/>
            </v:shape>
            <v:rect id="1087" o:spid="_x0000_s1064" o:spt="1" style="position:absolute;left:6151;top:203196;height:812;width:6345;" stroked="f" coordsize="21600,21600">
              <v:path/>
              <v:fill focussize="0,0"/>
              <v:stroke on="f" weight="0.5pt"/>
              <v:imagedata o:title=""/>
              <o:lock v:ext="edit"/>
              <v:textbox>
                <w:txbxContent>
                  <w:p w14:paraId="3A4D02BF">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图3：2017-2018年财政拨款收支出情况</w:t>
                    </w:r>
                  </w:p>
                  <w:p w14:paraId="3F6A5B98">
                    <w:pPr>
                      <w:rPr>
                        <w:sz w:val="20"/>
                        <w:szCs w:val="22"/>
                      </w:rPr>
                    </w:pPr>
                  </w:p>
                </w:txbxContent>
              </v:textbox>
            </v:rect>
          </v:group>
        </w:pict>
      </w:r>
      <w:r>
        <w:rPr>
          <w:rFonts w:hint="eastAsia" w:ascii="仿宋_GB2312" w:eastAsia="仿宋_GB2312" w:cs="DengXian-Regular"/>
          <w:sz w:val="32"/>
          <w:szCs w:val="32"/>
        </w:rPr>
        <w:t>本部门2018年度财政拨款本年收入24357.62万元,比2017年度增加10415.01万元，增长42.76%，主要是城乡社区支出中征地拆迁补偿费的增加；本年支出16718.53万元，比2017年增加2775.92万元，增长16.6%，主要是城乡社区支出中征地拆迁补偿费的增加。</w:t>
      </w:r>
    </w:p>
    <w:p w14:paraId="4CD7C2AF">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一般公共预算财政拨款本年收入719.62万元，比上年减少1985.16万元；主要是项目资金减少；本年支出719.62万元，比上年减少1985.16万元，降低73.39%，主要是项目资金减少。政府性基金预算财政拨款本年收入23638万元，比上年增加12400.17万元，增长52.46%，主要原因是征地拆迁补偿费的增加；本年支出15998.91万元，比上年增加4761.08万元，增长42.37%，主要是征地拆迁补偿费的增加。如图2所示：</w:t>
      </w:r>
    </w:p>
    <w:p w14:paraId="20A242A9">
      <w:pPr>
        <w:spacing w:after="0" w:line="580" w:lineRule="exact"/>
        <w:ind w:firstLine="420" w:firstLineChars="200"/>
        <w:rPr>
          <w:rFonts w:ascii="楷体_GB2312" w:eastAsia="楷体_GB2312" w:cs="DengXian-Bold"/>
          <w:b/>
          <w:bCs/>
          <w:sz w:val="32"/>
          <w:szCs w:val="32"/>
        </w:rPr>
      </w:pPr>
      <w:r>
        <w:drawing>
          <wp:anchor distT="0" distB="0" distL="114300" distR="114300" simplePos="0" relativeHeight="251682816" behindDoc="0" locked="0" layoutInCell="1" allowOverlap="1">
            <wp:simplePos x="0" y="0"/>
            <wp:positionH relativeFrom="column">
              <wp:posOffset>794385</wp:posOffset>
            </wp:positionH>
            <wp:positionV relativeFrom="paragraph">
              <wp:posOffset>26035</wp:posOffset>
            </wp:positionV>
            <wp:extent cx="4008120" cy="2227580"/>
            <wp:effectExtent l="4445" t="4445" r="6985" b="15875"/>
            <wp:wrapSquare wrapText="bothSides"/>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anchor>
        </w:drawing>
      </w:r>
    </w:p>
    <w:p w14:paraId="3F2D2018">
      <w:pPr>
        <w:spacing w:after="0" w:line="580" w:lineRule="exact"/>
        <w:ind w:firstLine="643" w:firstLineChars="200"/>
        <w:rPr>
          <w:rFonts w:ascii="楷体_GB2312" w:eastAsia="楷体_GB2312" w:cs="DengXian-Bold"/>
          <w:b/>
          <w:bCs/>
          <w:sz w:val="32"/>
          <w:szCs w:val="32"/>
        </w:rPr>
      </w:pPr>
    </w:p>
    <w:p w14:paraId="01ADC773">
      <w:pPr>
        <w:spacing w:after="0" w:line="580" w:lineRule="exact"/>
        <w:ind w:firstLine="643" w:firstLineChars="200"/>
        <w:rPr>
          <w:rFonts w:ascii="楷体_GB2312" w:eastAsia="楷体_GB2312" w:cs="DengXian-Bold"/>
          <w:b/>
          <w:bCs/>
          <w:sz w:val="32"/>
          <w:szCs w:val="32"/>
        </w:rPr>
      </w:pPr>
    </w:p>
    <w:p w14:paraId="1A4F2D16">
      <w:pPr>
        <w:spacing w:after="0" w:line="580" w:lineRule="exact"/>
        <w:ind w:firstLine="643" w:firstLineChars="200"/>
        <w:rPr>
          <w:rFonts w:ascii="楷体_GB2312" w:eastAsia="楷体_GB2312" w:cs="DengXian-Bold"/>
          <w:b/>
          <w:bCs/>
          <w:sz w:val="32"/>
          <w:szCs w:val="32"/>
        </w:rPr>
      </w:pPr>
    </w:p>
    <w:p w14:paraId="663429DE">
      <w:pPr>
        <w:spacing w:after="0" w:line="580" w:lineRule="exact"/>
        <w:ind w:firstLine="643" w:firstLineChars="200"/>
        <w:rPr>
          <w:rFonts w:ascii="楷体_GB2312" w:eastAsia="楷体_GB2312" w:cs="DengXian-Bold"/>
          <w:b/>
          <w:bCs/>
          <w:sz w:val="32"/>
          <w:szCs w:val="32"/>
        </w:rPr>
      </w:pPr>
    </w:p>
    <w:p w14:paraId="4C056F42">
      <w:pPr>
        <w:spacing w:after="0" w:line="580" w:lineRule="exact"/>
        <w:ind w:firstLine="643" w:firstLineChars="200"/>
        <w:rPr>
          <w:rFonts w:ascii="楷体_GB2312" w:eastAsia="楷体_GB2312" w:cs="DengXian-Bold"/>
          <w:b/>
          <w:bCs/>
          <w:sz w:val="32"/>
          <w:szCs w:val="32"/>
        </w:rPr>
      </w:pPr>
    </w:p>
    <w:p w14:paraId="792A75DC">
      <w:pPr>
        <w:spacing w:after="0" w:line="580" w:lineRule="exact"/>
        <w:ind w:firstLine="420" w:firstLineChars="200"/>
        <w:rPr>
          <w:rFonts w:ascii="楷体_GB2312" w:eastAsia="楷体_GB2312" w:cs="DengXian-Bold"/>
          <w:b/>
          <w:bCs/>
          <w:sz w:val="32"/>
          <w:szCs w:val="32"/>
        </w:rPr>
      </w:pPr>
      <w:r>
        <w:rPr>
          <w:rFonts w:hint="eastAsia" w:ascii="黑体" w:eastAsia="黑体"/>
        </w:rPr>
        <w:drawing>
          <wp:anchor distT="0" distB="0" distL="114300" distR="114300" simplePos="0" relativeHeight="251680768" behindDoc="0" locked="0" layoutInCell="1" allowOverlap="1">
            <wp:simplePos x="0" y="0"/>
            <wp:positionH relativeFrom="column">
              <wp:posOffset>-676275</wp:posOffset>
            </wp:positionH>
            <wp:positionV relativeFrom="paragraph">
              <wp:posOffset>-927100</wp:posOffset>
            </wp:positionV>
            <wp:extent cx="3588385" cy="871220"/>
            <wp:effectExtent l="0" t="0" r="12065" b="5080"/>
            <wp:wrapSquare wrapText="bothSides"/>
            <wp:docPr id="24" name="图片 24" descr="图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11"/>
                    <pic:cNvPicPr>
                      <a:picLocks noChangeAspect="1"/>
                    </pic:cNvPicPr>
                  </pic:nvPicPr>
                  <pic:blipFill>
                    <a:blip r:embed="rId21" cstate="print"/>
                    <a:stretch>
                      <a:fillRect/>
                    </a:stretch>
                  </pic:blipFill>
                  <pic:spPr>
                    <a:xfrm>
                      <a:off x="0" y="0"/>
                      <a:ext cx="3588385" cy="871220"/>
                    </a:xfrm>
                    <a:prstGeom prst="rect">
                      <a:avLst/>
                    </a:prstGeom>
                  </pic:spPr>
                </pic:pic>
              </a:graphicData>
            </a:graphic>
          </wp:anchor>
        </w:drawing>
      </w:r>
      <w:r>
        <w:rPr>
          <w:rFonts w:hint="eastAsia" w:ascii="楷体_GB2312" w:eastAsia="楷体_GB2312" w:cs="DengXian-Bold"/>
          <w:b/>
          <w:bCs/>
          <w:sz w:val="32"/>
          <w:szCs w:val="32"/>
        </w:rPr>
        <w:t>（二）财政拨款收支与年初预算数对比情况</w:t>
      </w:r>
    </w:p>
    <w:p w14:paraId="6E84FAFC">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财政拨款本年收入24357.62万元，完成年初预算的450%,比年初预算增加18943.37万元，决算数大于预算数主要原因是征地拆迁补偿费的增加，纳入调整预算经市人大会批准；本年支出16718.53万元，完成年初预算的308.79%,比年初预算增加11304.28万元，决算数大于预算数主要原因是主要是征地拆迁补偿费的增加，纳入调整预算经市人大会批准。如图3所示。</w:t>
      </w:r>
    </w:p>
    <w:p w14:paraId="3A627FB6">
      <w:pPr>
        <w:adjustRightInd w:val="0"/>
        <w:snapToGrid w:val="0"/>
        <w:spacing w:after="0" w:line="580" w:lineRule="exact"/>
        <w:ind w:firstLine="640" w:firstLineChars="200"/>
        <w:rPr>
          <w:rFonts w:ascii="仿宋_GB2312" w:eastAsia="仿宋_GB2312" w:cs="DengXian-Regular"/>
          <w:sz w:val="32"/>
          <w:szCs w:val="32"/>
        </w:rPr>
      </w:pPr>
      <w:r>
        <w:rPr>
          <w:rFonts w:ascii="仿宋_GB2312" w:eastAsia="仿宋_GB2312" w:cs="DengXian-Regular"/>
          <w:sz w:val="32"/>
          <w:szCs w:val="32"/>
        </w:rPr>
        <w:drawing>
          <wp:anchor distT="0" distB="0" distL="114300" distR="114300" simplePos="0" relativeHeight="251683840" behindDoc="0" locked="0" layoutInCell="1" allowOverlap="1">
            <wp:simplePos x="0" y="0"/>
            <wp:positionH relativeFrom="column">
              <wp:posOffset>510540</wp:posOffset>
            </wp:positionH>
            <wp:positionV relativeFrom="paragraph">
              <wp:posOffset>309245</wp:posOffset>
            </wp:positionV>
            <wp:extent cx="4572000" cy="2743200"/>
            <wp:effectExtent l="19050" t="0" r="19050" b="0"/>
            <wp:wrapSquare wrapText="bothSides"/>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anchor>
        </w:drawing>
      </w:r>
    </w:p>
    <w:p w14:paraId="41EE0033">
      <w:pPr>
        <w:adjustRightInd w:val="0"/>
        <w:snapToGrid w:val="0"/>
        <w:spacing w:after="0" w:line="580" w:lineRule="exact"/>
        <w:ind w:firstLine="640" w:firstLineChars="200"/>
        <w:rPr>
          <w:rFonts w:ascii="仿宋_GB2312" w:eastAsia="仿宋_GB2312" w:cs="DengXian-Regular"/>
          <w:sz w:val="32"/>
          <w:szCs w:val="32"/>
        </w:rPr>
      </w:pPr>
    </w:p>
    <w:p w14:paraId="3FC38F32">
      <w:pPr>
        <w:adjustRightInd w:val="0"/>
        <w:snapToGrid w:val="0"/>
        <w:spacing w:after="0" w:line="580" w:lineRule="exact"/>
        <w:ind w:firstLine="640" w:firstLineChars="200"/>
        <w:rPr>
          <w:rFonts w:ascii="仿宋_GB2312" w:eastAsia="仿宋_GB2312" w:cs="DengXian-Regular"/>
          <w:sz w:val="32"/>
          <w:szCs w:val="32"/>
        </w:rPr>
      </w:pPr>
    </w:p>
    <w:p w14:paraId="415FEE3D">
      <w:pPr>
        <w:adjustRightInd w:val="0"/>
        <w:snapToGrid w:val="0"/>
        <w:spacing w:after="0" w:line="580" w:lineRule="exact"/>
        <w:ind w:firstLine="640" w:firstLineChars="200"/>
        <w:rPr>
          <w:rFonts w:ascii="仿宋_GB2312" w:eastAsia="仿宋_GB2312" w:cs="DengXian-Regular"/>
          <w:sz w:val="32"/>
          <w:szCs w:val="32"/>
        </w:rPr>
      </w:pPr>
    </w:p>
    <w:p w14:paraId="2B1A0DB6">
      <w:pPr>
        <w:adjustRightInd w:val="0"/>
        <w:snapToGrid w:val="0"/>
        <w:spacing w:after="0" w:line="580" w:lineRule="exact"/>
        <w:ind w:firstLine="640" w:firstLineChars="200"/>
        <w:rPr>
          <w:rFonts w:ascii="仿宋_GB2312" w:eastAsia="仿宋_GB2312" w:cs="DengXian-Regular"/>
          <w:sz w:val="32"/>
          <w:szCs w:val="32"/>
        </w:rPr>
      </w:pPr>
    </w:p>
    <w:p w14:paraId="7055B1F4">
      <w:pPr>
        <w:adjustRightInd w:val="0"/>
        <w:snapToGrid w:val="0"/>
        <w:spacing w:after="0" w:line="580" w:lineRule="exact"/>
        <w:ind w:firstLine="640" w:firstLineChars="200"/>
        <w:rPr>
          <w:rFonts w:ascii="仿宋_GB2312" w:eastAsia="仿宋_GB2312" w:cs="DengXian-Regular"/>
          <w:sz w:val="32"/>
          <w:szCs w:val="32"/>
        </w:rPr>
      </w:pPr>
    </w:p>
    <w:p w14:paraId="3DD1E301">
      <w:pPr>
        <w:adjustRightInd w:val="0"/>
        <w:snapToGrid w:val="0"/>
        <w:spacing w:after="0" w:line="580" w:lineRule="exact"/>
        <w:ind w:firstLine="640" w:firstLineChars="200"/>
        <w:rPr>
          <w:rFonts w:ascii="仿宋_GB2312" w:eastAsia="仿宋_GB2312" w:cs="DengXian-Regular"/>
          <w:sz w:val="32"/>
          <w:szCs w:val="32"/>
        </w:rPr>
      </w:pPr>
    </w:p>
    <w:p w14:paraId="707F8AE6">
      <w:pPr>
        <w:adjustRightInd w:val="0"/>
        <w:snapToGrid w:val="0"/>
        <w:spacing w:after="0" w:line="580" w:lineRule="exact"/>
        <w:ind w:firstLine="640" w:firstLineChars="200"/>
        <w:rPr>
          <w:rFonts w:ascii="仿宋_GB2312" w:eastAsia="仿宋_GB2312" w:cs="DengXian-Regular"/>
          <w:sz w:val="32"/>
          <w:szCs w:val="32"/>
        </w:rPr>
      </w:pPr>
    </w:p>
    <w:p w14:paraId="717A4064">
      <w:pPr>
        <w:adjustRightInd w:val="0"/>
        <w:snapToGrid w:val="0"/>
        <w:spacing w:after="0" w:line="580" w:lineRule="exact"/>
        <w:ind w:firstLine="640" w:firstLineChars="200"/>
        <w:rPr>
          <w:rFonts w:ascii="仿宋_GB2312" w:eastAsia="仿宋_GB2312" w:cs="DengXian-Regular"/>
          <w:sz w:val="32"/>
          <w:szCs w:val="32"/>
        </w:rPr>
      </w:pPr>
    </w:p>
    <w:p w14:paraId="4AACCC88">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其中，一般公共预算财政拨款本年收入完成年初预算102.88%，比年初预算增加20.15万元，主要是18年新增人员及老庄子所煤改电导致电费增加等原因；支出完成年初预算102.88%，比年初预算增加20.15万元，主要是18年新增人员，老庄子所煤改电导致电费增加等原因。政府性基金预算财政拨款本年收入完成年初预算501.36%，比年初预算增加18923.22万元，主要是征地拆迁补偿费的增加；支出完成年初预算339.34%，比年初预算增加11284.13万元，主要是征地拆迁补偿费的增加。</w:t>
      </w:r>
    </w:p>
    <w:p w14:paraId="23285839">
      <w:pPr>
        <w:numPr>
          <w:ilvl w:val="0"/>
          <w:numId w:val="1"/>
        </w:numPr>
        <w:adjustRightInd w:val="0"/>
        <w:snapToGrid w:val="0"/>
        <w:spacing w:after="0" w:line="580" w:lineRule="exact"/>
        <w:ind w:left="420" w:leftChars="200"/>
        <w:rPr>
          <w:rFonts w:ascii="楷体_GB2312" w:eastAsia="楷体_GB2312" w:cs="DengXian-Bold"/>
          <w:b/>
          <w:bCs/>
          <w:sz w:val="32"/>
          <w:szCs w:val="32"/>
        </w:rPr>
      </w:pPr>
      <w:r>
        <w:rPr>
          <w:rFonts w:hint="eastAsia" w:ascii="楷体_GB2312" w:eastAsia="楷体_GB2312" w:cs="DengXian-Bold"/>
          <w:b/>
          <w:bCs/>
          <w:sz w:val="32"/>
          <w:szCs w:val="32"/>
        </w:rPr>
        <w:t>财政拨款支出决算结构情况。</w:t>
      </w:r>
    </w:p>
    <w:p w14:paraId="567161E9">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 年度财政拨款支出16718.53万元，主要用于以下方面：社会保障和就业支出38.6万元，占0.23%；医疗卫生与计划生育支出35.12万元，占0.21%；城乡社区支出15998.9万元，占95.7%；国土海洋气象等支出619.95万元，占3.71%；住房保障支出25.96万元，占0.15%；</w:t>
      </w:r>
    </w:p>
    <w:p w14:paraId="31C92F03">
      <w:pPr>
        <w:adjustRightInd w:val="0"/>
        <w:snapToGrid w:val="0"/>
        <w:spacing w:after="0" w:line="580" w:lineRule="exact"/>
        <w:rPr>
          <w:rFonts w:ascii="楷体_GB2312" w:eastAsia="楷体_GB2312" w:cs="DengXian-Bold"/>
          <w:b/>
          <w:bCs/>
          <w:sz w:val="32"/>
          <w:szCs w:val="32"/>
        </w:rPr>
      </w:pPr>
      <w:r>
        <w:pict>
          <v:group id="1097" o:spid="_x0000_s1051" o:spt="203" style="position:absolute;left:0pt;margin-left:81.05pt;margin-top:20.15pt;height:198.95pt;width:310.75pt;z-index:251707392;mso-width-relative:page;mso-height-relative:page;" coordsize="0,203203">
            <o:lock v:ext="edit"/>
            <v:shape id="1098" o:spid="_x0000_s1053" o:spt="75" type="#_x0000_t75" style="position:absolute;left:7157;top:180284;height:2988;width:4586;" filled="f" o:preferrelative="t" stroked="f" coordsize="21600,21600">
              <v:path/>
              <v:fill on="f" focussize="0,0"/>
              <v:stroke on="f" joinstyle="miter"/>
              <v:imagedata r:id="rId22" cropleft="2130f" croptop="1490f" cropright="1217f" cropbottom="5217f" embosscolor="#FFFFFF" o:title=""/>
              <o:lock v:ext="edit" aspectratio="t"/>
            </v:shape>
            <v:rect id="1099" o:spid="_x0000_s1052" o:spt="1" style="position:absolute;left:6921;top:183134;height:615;width:5065;" stroked="f" coordsize="21600,21600">
              <v:path/>
              <v:fill focussize="0,0"/>
              <v:stroke on="f" weight="0.5pt"/>
              <v:imagedata o:title=""/>
              <o:lock v:ext="edit"/>
              <v:textbox>
                <w:txbxContent>
                  <w:p w14:paraId="2F716585">
                    <w:pPr>
                      <w:adjustRightInd w:val="0"/>
                      <w:snapToGrid w:val="0"/>
                      <w:spacing w:line="560" w:lineRule="exact"/>
                      <w:jc w:val="center"/>
                      <w:rPr>
                        <w:rFonts w:ascii="仿宋_GB2312" w:eastAsia="仿宋_GB2312" w:cs="DengXian-Regular"/>
                        <w:sz w:val="28"/>
                        <w:szCs w:val="28"/>
                      </w:rPr>
                    </w:pPr>
                    <w:r>
                      <w:rPr>
                        <w:rFonts w:hint="eastAsia" w:ascii="仿宋_GB2312" w:eastAsia="仿宋_GB2312" w:cs="DengXian-Regular"/>
                        <w:sz w:val="28"/>
                        <w:szCs w:val="28"/>
                      </w:rPr>
                      <w:t>图1：财政拨款支出决算结构（按功能分类）</w:t>
                    </w:r>
                  </w:p>
                  <w:p w14:paraId="4FA45700">
                    <w:pPr>
                      <w:rPr>
                        <w:sz w:val="20"/>
                        <w:szCs w:val="22"/>
                      </w:rPr>
                    </w:pPr>
                  </w:p>
                </w:txbxContent>
              </v:textbox>
            </v:rect>
          </v:group>
        </w:pict>
      </w:r>
      <w:r>
        <w:rPr>
          <w:sz w:val="44"/>
        </w:rPr>
        <w:pict>
          <v:group id="1100" o:spid="_x0000_s1048" o:spt="203" style="position:absolute;left:0pt;margin-left:-0.55pt;margin-top:29.3pt;height:43.95pt;width:301.85pt;mso-position-horizontal-relative:page;mso-position-vertical-relative:page;z-index:251697152;mso-width-relative:page;mso-height-relative:page;" coordsize="0,203203">
            <o:lock v:ext="edit"/>
            <v:rect id="1101" o:spid="_x0000_s1050" o:spt="1" style="position:absolute;left:4551;top:52615;height:1175;width:8546;" fillcolor="#D8D8D8" filled="t" stroked="f" coordsize="21600,21600">
              <v:path/>
              <v:fill on="t" focussize="0,0"/>
              <v:stroke on="f" weight="2pt" color="#AF7621"/>
              <v:imagedata o:title=""/>
              <o:lock v:ext="edit"/>
            </v:rect>
            <v:rect id="1102" o:spid="_x0000_s1049" o:spt="1" style="position:absolute;left:4577;top:52890;height:1123;width:8324;v-text-anchor:middle;" fillcolor="#AD002D" filled="t" stroked="t" coordsize="21600,21600">
              <v:path/>
              <v:fill on="t" focussize="0,0"/>
              <v:stroke weight="2pt" color="#AF7621"/>
              <v:imagedata o:title=""/>
              <o:lock v:ext="edit"/>
              <v:textbox>
                <w:txbxContent>
                  <w:p w14:paraId="2658F011">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14:paraId="21932C45">
                    <w:pPr>
                      <w:jc w:val="center"/>
                    </w:pPr>
                  </w:p>
                </w:txbxContent>
              </v:textbox>
            </v:rect>
            <w10:anchorlock/>
          </v:group>
        </w:pict>
      </w:r>
      <w:r>
        <w:rPr>
          <w:rFonts w:hint="eastAsia" w:ascii="楷体_GB2312" w:eastAsia="楷体_GB2312" w:cs="DengXian-Bold"/>
          <w:b/>
          <w:bCs/>
          <w:sz w:val="32"/>
          <w:szCs w:val="32"/>
        </w:rPr>
        <w:t>（四）一般公共预算基本支出决算情况说明</w:t>
      </w:r>
    </w:p>
    <w:p w14:paraId="23B5E856">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 年度财政拨款基本支出625.48万元，其中：人员经费 538.31万元，主要包括基本工资120.79万元、津贴补贴246.75万元、奖金9.23万元、绩效工资6.11万元、机关事业单位基本养老保险缴费38.6万元、职工基本医疗保险缴费35.12万元、住房公积金25.96万元、其他社会保障缴费18.09万元、其他工资福利支出37.66万元。公用经费87.18万元,主要包括办公费4.65万元、水费3.59万元、电费11.57万元、邮电费17.03万元、取暖费6.27万元、差旅费3万元、租赁费1.15万元、工会经费4.32万元、公务用车运行维护费18.86万元、其他交通费用16.42万元、其他商品和服务支出0.31万元。</w:t>
      </w:r>
    </w:p>
    <w:p w14:paraId="24EC062D">
      <w:pPr>
        <w:pStyle w:val="3"/>
        <w:spacing w:before="0" w:after="0" w:line="580" w:lineRule="exact"/>
        <w:ind w:firstLine="640" w:firstLineChars="200"/>
        <w:rPr>
          <w:rFonts w:ascii="黑体" w:eastAsia="黑体"/>
          <w:b w:val="0"/>
          <w:bCs w:val="0"/>
        </w:rPr>
      </w:pPr>
      <w:r>
        <w:rPr>
          <w:rFonts w:hint="eastAsia" w:ascii="黑体" w:eastAsia="黑体"/>
          <w:b w:val="0"/>
          <w:bCs w:val="0"/>
        </w:rPr>
        <w:t>五、一般公共预算“三公” 经费支出决算情况说明</w:t>
      </w:r>
    </w:p>
    <w:p w14:paraId="51F5616E">
      <w:pPr>
        <w:rPr>
          <w:rFonts w:ascii="仿宋" w:hAnsi="仿宋" w:eastAsia="仿宋"/>
          <w:sz w:val="32"/>
          <w:szCs w:val="32"/>
        </w:rPr>
      </w:pPr>
      <w:r>
        <w:rPr>
          <w:rFonts w:hint="eastAsia" w:ascii="仿宋_GB2312" w:eastAsia="仿宋_GB2312" w:cs="DengXian-Regular"/>
          <w:sz w:val="32"/>
          <w:szCs w:val="32"/>
        </w:rPr>
        <w:t>本部门2018年度“三公”经费支出共计18.86万元，</w:t>
      </w:r>
      <w:r>
        <w:rPr>
          <w:rFonts w:hint="eastAsia" w:ascii="仿宋_GB2312" w:eastAsia="仿宋_GB2312" w:cs="DengXian-Regular"/>
          <w:b/>
          <w:bCs/>
          <w:sz w:val="32"/>
          <w:szCs w:val="32"/>
        </w:rPr>
        <w:t>较年初预算减少0.64万元，降低3.28%，</w:t>
      </w:r>
      <w:r>
        <w:rPr>
          <w:rFonts w:hint="eastAsia" w:ascii="仿宋_GB2312" w:eastAsia="仿宋_GB2312" w:cs="DengXian-Regular"/>
          <w:sz w:val="32"/>
          <w:szCs w:val="32"/>
        </w:rPr>
        <w:t>主要是</w:t>
      </w:r>
      <w:r>
        <w:rPr>
          <w:rFonts w:hint="eastAsia" w:ascii="仿宋" w:hAnsi="仿宋" w:eastAsia="仿宋"/>
          <w:sz w:val="32"/>
          <w:szCs w:val="32"/>
        </w:rPr>
        <w:t>我分局坚持勤俭节支原</w:t>
      </w:r>
    </w:p>
    <w:p w14:paraId="35455F29">
      <w:pPr>
        <w:rPr>
          <w:rFonts w:ascii="仿宋_GB2312" w:eastAsia="仿宋_GB2312" w:cs="DengXian-Regular"/>
          <w:sz w:val="32"/>
          <w:szCs w:val="32"/>
        </w:rPr>
      </w:pPr>
      <w:r>
        <w:rPr>
          <w:rFonts w:hint="eastAsia" w:ascii="仿宋" w:hAnsi="仿宋" w:eastAsia="仿宋"/>
          <w:sz w:val="32"/>
          <w:szCs w:val="32"/>
        </w:rPr>
        <w:t>则，力行降低各项运行经费；</w:t>
      </w:r>
      <w:r>
        <w:rPr>
          <w:rFonts w:hint="eastAsia" w:ascii="仿宋_GB2312" w:eastAsia="仿宋_GB2312" w:cs="DengXian-Regular"/>
          <w:sz w:val="32"/>
          <w:szCs w:val="32"/>
        </w:rPr>
        <w:t>较2017年度增加0.47万元，增长2.49%，主要原因是2018年度空港城开发区管辖范围划入高新，导致我分局执法巡查面积增大，造成公车运行经费有所增加。具体情况如下：</w:t>
      </w:r>
    </w:p>
    <w:p w14:paraId="36182644">
      <w:pPr>
        <w:adjustRightInd w:val="0"/>
        <w:snapToGrid w:val="0"/>
        <w:spacing w:after="0" w:line="58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w:t>
      </w:r>
      <w:r>
        <w:rPr>
          <w:sz w:val="44"/>
        </w:rPr>
        <w:pict>
          <v:group id="1103" o:spid="_x0000_s1045" o:spt="203" style="position:absolute;left:0pt;margin-left:-0.55pt;margin-top:29.3pt;height:43.95pt;width:301.85pt;mso-position-horizontal-relative:page;mso-position-vertical-relative:page;z-index:251698176;mso-width-relative:page;mso-height-relative:page;" coordsize="0,203203">
            <o:lock v:ext="edit"/>
            <v:rect id="1104" o:spid="_x0000_s1047" o:spt="1" style="position:absolute;left:4551;top:52615;height:1175;width:8546;" fillcolor="#D8D8D8" filled="t" stroked="f" coordsize="21600,21600">
              <v:path/>
              <v:fill on="t" focussize="0,0"/>
              <v:stroke on="f" weight="2pt" color="#AF7621"/>
              <v:imagedata o:title=""/>
              <o:lock v:ext="edit"/>
            </v:rect>
            <v:rect id="1105" o:spid="_x0000_s1046" o:spt="1" style="position:absolute;left:4577;top:52890;height:1123;width:8324;v-text-anchor:middle;" fillcolor="#AD002D" filled="t" stroked="t" coordsize="21600,21600">
              <v:path/>
              <v:fill on="t" focussize="0,0"/>
              <v:stroke weight="2pt" color="#AF7621"/>
              <v:imagedata o:title=""/>
              <o:lock v:ext="edit"/>
              <v:textbox>
                <w:txbxContent>
                  <w:p w14:paraId="014FBD98">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14:paraId="613E338A">
                    <w:pPr>
                      <w:jc w:val="center"/>
                    </w:pPr>
                  </w:p>
                </w:txbxContent>
              </v:textbox>
            </v:rect>
            <w10:anchorlock/>
          </v:group>
        </w:pict>
      </w:r>
      <w:r>
        <w:rPr>
          <w:rFonts w:hint="eastAsia" w:ascii="楷体_GB2312" w:eastAsia="楷体_GB2312" w:cs="DengXian-Bold"/>
          <w:b/>
          <w:bCs/>
          <w:sz w:val="32"/>
          <w:szCs w:val="32"/>
        </w:rPr>
        <w:t>一）因公出国（境）费支出0万元。</w:t>
      </w:r>
      <w:r>
        <w:rPr>
          <w:rFonts w:hint="eastAsia" w:ascii="仿宋_GB2312" w:eastAsia="仿宋_GB2312" w:cs="DengXian-Regular"/>
          <w:sz w:val="32"/>
          <w:szCs w:val="32"/>
        </w:rPr>
        <w:t>本部门2018年度参加其他单位组织的因公出国（境）团组0个、无出国（境）团组。</w:t>
      </w:r>
    </w:p>
    <w:p w14:paraId="79638959">
      <w:pPr>
        <w:adjustRightInd w:val="0"/>
        <w:snapToGrid w:val="0"/>
        <w:spacing w:after="0" w:line="580" w:lineRule="exact"/>
        <w:rPr>
          <w:rFonts w:ascii="仿宋_GB2312" w:eastAsia="仿宋_GB2312" w:cs="DengXian-Regular"/>
          <w:sz w:val="32"/>
          <w:szCs w:val="32"/>
          <w:shd w:val="clear" w:color="FFFFFF" w:fill="D9D9D9"/>
        </w:rPr>
      </w:pPr>
      <w:r>
        <w:rPr>
          <w:rFonts w:hint="eastAsia" w:ascii="仿宋_GB2312" w:eastAsia="仿宋_GB2312" w:cs="DengXian-Regular"/>
          <w:sz w:val="32"/>
          <w:szCs w:val="32"/>
        </w:rPr>
        <w:t>未发生“因公出国（境）费用”经费，较年初预算无增减变化，较2017年度决算无增减变化。</w:t>
      </w:r>
    </w:p>
    <w:p w14:paraId="7C30E869">
      <w:pPr>
        <w:adjustRightInd w:val="0"/>
        <w:snapToGrid w:val="0"/>
        <w:spacing w:after="0" w:line="58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（二）公务用车购置及运行维护费支出18.86万元。</w:t>
      </w:r>
      <w:r>
        <w:rPr>
          <w:rFonts w:hint="eastAsia" w:ascii="仿宋_GB2312" w:eastAsia="仿宋_GB2312" w:cs="DengXian-Regular"/>
          <w:sz w:val="32"/>
          <w:szCs w:val="32"/>
        </w:rPr>
        <w:t>本部门2018年度公务用车购置及运行维护费较年初预算减少0.64万元，降低3.28%,主要是本着</w:t>
      </w:r>
      <w:r>
        <w:rPr>
          <w:rFonts w:hint="eastAsia" w:ascii="仿宋" w:hAnsi="仿宋" w:eastAsia="仿宋"/>
          <w:sz w:val="32"/>
          <w:szCs w:val="32"/>
        </w:rPr>
        <w:t>我分局坚持勤俭节支原则，力行降低各项运行经费</w:t>
      </w:r>
      <w:r>
        <w:rPr>
          <w:rFonts w:hint="eastAsia" w:ascii="仿宋_GB2312" w:eastAsia="仿宋_GB2312" w:cs="DengXian-Regular"/>
          <w:sz w:val="32"/>
          <w:szCs w:val="32"/>
        </w:rPr>
        <w:t>；较上年增加0.47万元，增长2.49%，主要原因是2018年度空港城开发区管辖范围划入高新，导致我分局执法巡查面积增大。</w:t>
      </w:r>
      <w:r>
        <w:rPr>
          <w:rFonts w:hint="eastAsia" w:ascii="仿宋_GB2312" w:eastAsia="仿宋_GB2312" w:cs="DengXian-Bold"/>
          <w:b/>
          <w:bCs/>
          <w:sz w:val="32"/>
          <w:szCs w:val="32"/>
        </w:rPr>
        <w:t>其中：</w:t>
      </w:r>
    </w:p>
    <w:p w14:paraId="4A644FF4">
      <w:pPr>
        <w:adjustRightInd w:val="0"/>
        <w:snapToGrid w:val="0"/>
        <w:spacing w:after="0" w:line="580" w:lineRule="exact"/>
        <w:ind w:firstLine="643" w:firstLineChars="200"/>
        <w:rPr>
          <w:rFonts w:ascii="仿宋_GB2312" w:eastAsia="仿宋_GB2312" w:cs="DengXian-Regular"/>
          <w:sz w:val="32"/>
          <w:szCs w:val="32"/>
          <w:shd w:val="clear" w:color="FFFFFF" w:fill="D9D9D9"/>
        </w:rPr>
      </w:pPr>
      <w:r>
        <w:rPr>
          <w:rFonts w:hint="eastAsia" w:ascii="仿宋_GB2312" w:eastAsia="仿宋_GB2312" w:cs="DengXian-Regular"/>
          <w:b/>
          <w:sz w:val="32"/>
          <w:szCs w:val="32"/>
        </w:rPr>
        <w:t>公务用车购置费：</w:t>
      </w:r>
      <w:r>
        <w:rPr>
          <w:rFonts w:hint="eastAsia" w:ascii="仿宋_GB2312" w:eastAsia="仿宋_GB2312" w:cs="DengXian-Regular"/>
          <w:sz w:val="32"/>
          <w:szCs w:val="32"/>
        </w:rPr>
        <w:t>本部门2018年度公务用车购置量0辆，未发生“公务用车购置”经费，较年初预算无增减变化，较2017年度决算无增减变化。</w:t>
      </w:r>
    </w:p>
    <w:p w14:paraId="3639D100">
      <w:pPr>
        <w:adjustRightInd w:val="0"/>
        <w:snapToGrid w:val="0"/>
        <w:spacing w:after="0" w:line="58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公务用车运行维护费：</w:t>
      </w:r>
      <w:r>
        <w:rPr>
          <w:rFonts w:hint="eastAsia" w:ascii="仿宋_GB2312" w:eastAsia="仿宋_GB2312" w:cs="DengXian-Regular"/>
          <w:sz w:val="32"/>
          <w:szCs w:val="32"/>
        </w:rPr>
        <w:t>本部门2018年度单位公务用车保有量5辆。公车运行维护费支出较年初预算减少0.64万元，降低3.28%,主要是</w:t>
      </w:r>
      <w:r>
        <w:rPr>
          <w:rFonts w:hint="eastAsia" w:ascii="仿宋" w:hAnsi="仿宋" w:eastAsia="仿宋"/>
          <w:sz w:val="32"/>
          <w:szCs w:val="32"/>
        </w:rPr>
        <w:t>按照《预算法》和机关运行费用节支要求，我分局力行降低各项运行经费</w:t>
      </w:r>
      <w:r>
        <w:rPr>
          <w:rFonts w:hint="eastAsia" w:ascii="仿宋_GB2312" w:eastAsia="仿宋_GB2312" w:cs="DengXian-Regular"/>
          <w:sz w:val="32"/>
          <w:szCs w:val="32"/>
        </w:rPr>
        <w:t>；较上年增加0.47万元，增长2.49%，主要原因是2018年度空港城开发区管辖范围划入高新，导致我</w:t>
      </w:r>
    </w:p>
    <w:p w14:paraId="7C7CC3CB">
      <w:pPr>
        <w:adjustRightInd w:val="0"/>
        <w:snapToGrid w:val="0"/>
        <w:spacing w:after="0" w:line="580" w:lineRule="exact"/>
        <w:rPr>
          <w:rFonts w:ascii="仿宋_GB2312" w:eastAsia="仿宋_GB2312" w:cs="DengXian-Regular"/>
          <w:sz w:val="32"/>
          <w:szCs w:val="32"/>
        </w:rPr>
      </w:pPr>
      <w:r>
        <w:rPr>
          <w:rFonts w:hint="eastAsia" w:ascii="仿宋_GB2312" w:eastAsia="仿宋_GB2312" w:cs="DengXian-Regular"/>
          <w:sz w:val="32"/>
          <w:szCs w:val="32"/>
        </w:rPr>
        <w:t>分局执法巡查面积增大，造成公车运行经费有所增加。</w:t>
      </w:r>
    </w:p>
    <w:p w14:paraId="0F5EB79E">
      <w:pPr>
        <w:adjustRightInd w:val="0"/>
        <w:snapToGrid w:val="0"/>
        <w:spacing w:after="0" w:line="58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（三）公务接待费支出0万元。</w:t>
      </w:r>
      <w:r>
        <w:rPr>
          <w:sz w:val="44"/>
        </w:rPr>
        <w:pict>
          <v:group id="1106" o:spid="_x0000_s1042" o:spt="203" style="position:absolute;left:0pt;margin-left:-0.55pt;margin-top:29.3pt;height:43.95pt;width:301.85pt;mso-position-horizontal-relative:page;mso-position-vertical-relative:page;z-index:251699200;mso-width-relative:page;mso-height-relative:page;" coordsize="0,203203">
            <o:lock v:ext="edit"/>
            <v:rect id="1107" o:spid="_x0000_s1044" o:spt="1" style="position:absolute;left:4551;top:52615;height:1175;width:8546;" fillcolor="#D8D8D8" filled="t" stroked="f" coordsize="21600,21600">
              <v:path/>
              <v:fill on="t" focussize="0,0"/>
              <v:stroke on="f" weight="2pt" color="#AF7621"/>
              <v:imagedata o:title=""/>
              <o:lock v:ext="edit"/>
            </v:rect>
            <v:rect id="1108" o:spid="_x0000_s1043" o:spt="1" style="position:absolute;left:4577;top:52890;height:1123;width:8324;v-text-anchor:middle;" fillcolor="#AD002D" filled="t" stroked="t" coordsize="21600,21600">
              <v:path/>
              <v:fill on="t" focussize="0,0"/>
              <v:stroke weight="2pt" color="#AF7621"/>
              <v:imagedata o:title=""/>
              <o:lock v:ext="edit"/>
              <v:textbox>
                <w:txbxContent>
                  <w:p w14:paraId="3B5E9228">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14:paraId="70DDE2C4">
                    <w:pPr>
                      <w:jc w:val="center"/>
                    </w:pPr>
                  </w:p>
                </w:txbxContent>
              </v:textbox>
            </v:rect>
            <w10:anchorlock/>
          </v:group>
        </w:pict>
      </w:r>
      <w:r>
        <w:rPr>
          <w:rFonts w:hint="eastAsia" w:ascii="仿宋_GB2312" w:eastAsia="仿宋_GB2312" w:cs="DengXian-Regular"/>
          <w:sz w:val="32"/>
          <w:szCs w:val="32"/>
        </w:rPr>
        <w:t>本部门2018年度公务接待共0批次、0人次。未发生公务接待费，较年初预算无增减变化，较2017年度决算无增减变化。</w:t>
      </w:r>
    </w:p>
    <w:p w14:paraId="6AB72DC4">
      <w:pPr>
        <w:adjustRightInd w:val="0"/>
        <w:snapToGrid w:val="0"/>
        <w:spacing w:after="0" w:line="580" w:lineRule="exact"/>
        <w:ind w:firstLine="640" w:firstLineChars="200"/>
        <w:rPr>
          <w:rFonts w:ascii="黑体" w:eastAsia="黑体"/>
          <w:sz w:val="32"/>
          <w:szCs w:val="40"/>
        </w:rPr>
      </w:pPr>
      <w:r>
        <w:rPr>
          <w:rFonts w:hint="eastAsia" w:ascii="黑体" w:eastAsia="黑体"/>
          <w:sz w:val="32"/>
          <w:szCs w:val="40"/>
        </w:rPr>
        <w:t>六、预算绩效情况说明</w:t>
      </w:r>
    </w:p>
    <w:p w14:paraId="26309F59">
      <w:pPr>
        <w:adjustRightInd w:val="0"/>
        <w:snapToGrid w:val="0"/>
        <w:spacing w:after="0" w:line="580" w:lineRule="exact"/>
        <w:ind w:firstLine="640" w:firstLineChars="200"/>
        <w:rPr>
          <w:rFonts w:ascii="仿宋_GB2312" w:hAnsi="仿宋_GB2312" w:eastAsia="仿宋_GB2312" w:cs="仿宋_GB2312"/>
          <w:sz w:val="32"/>
          <w:szCs w:val="32"/>
        </w:rPr>
      </w:pPr>
      <w:r>
        <w:rPr>
          <w:rFonts w:hint="eastAsia" w:ascii="仿宋_GB2312" w:eastAsia="仿宋_GB2312" w:cs="DengXian-Regular"/>
          <w:sz w:val="32"/>
          <w:szCs w:val="32"/>
        </w:rPr>
        <w:t>（一）绩效管理工作开展情况</w:t>
      </w:r>
      <w:r>
        <w:rPr>
          <w:rFonts w:hint="eastAsia" w:ascii="仿宋" w:hAnsi="仿宋" w:eastAsia="仿宋" w:cs="仿宋"/>
          <w:color w:val="333333"/>
          <w:sz w:val="32"/>
          <w:szCs w:val="32"/>
        </w:rPr>
        <w:t xml:space="preserve"> :</w:t>
      </w:r>
      <w:r>
        <w:rPr>
          <w:rFonts w:hint="eastAsia" w:ascii="仿宋_GB2312" w:hAnsi="仿宋_GB2312" w:eastAsia="仿宋_GB2312" w:cs="仿宋_GB2312"/>
          <w:color w:val="333333"/>
          <w:sz w:val="32"/>
          <w:szCs w:val="32"/>
        </w:rPr>
        <w:t>2018 年部门预算执行完毕</w:t>
      </w:r>
      <w:r>
        <w:rPr>
          <w:rFonts w:hint="eastAsia" w:ascii="仿宋_GB2312" w:hAnsi="仿宋_GB2312" w:eastAsia="仿宋_GB2312" w:cs="仿宋_GB2312"/>
          <w:sz w:val="32"/>
          <w:szCs w:val="32"/>
        </w:rPr>
        <w:t>后，我分局及高新区财政局对照各项目资金绩效目标以及绩效指标完成情况进行了预算绩效评价，开展了部门综合绩效自评和各支出项目自评。</w:t>
      </w:r>
    </w:p>
    <w:p w14:paraId="5D551318">
      <w:pPr>
        <w:adjustRightInd w:val="0"/>
        <w:snapToGrid w:val="0"/>
        <w:spacing w:after="0" w:line="580" w:lineRule="exact"/>
        <w:ind w:firstLine="640" w:firstLineChars="200"/>
        <w:rPr>
          <w:rFonts w:ascii="仿宋_GB2312" w:hAnsi="仿宋_GB2312" w:eastAsia="仿宋_GB2312" w:cs="仿宋_GB2312"/>
          <w:color w:val="333333"/>
          <w:sz w:val="32"/>
          <w:szCs w:val="32"/>
        </w:rPr>
      </w:pPr>
      <w:r>
        <w:rPr>
          <w:rFonts w:hint="eastAsia" w:ascii="仿宋_GB2312" w:hAnsi="仿宋_GB2312" w:eastAsia="仿宋_GB2312" w:cs="仿宋_GB2312"/>
          <w:sz w:val="32"/>
          <w:szCs w:val="32"/>
        </w:rPr>
        <w:t>预算项目绩效评价开展情况：根据《中华人民共和国宪法》、《中华人民共和国预算法》等法律法规，2018年度执行部门整体绩效目标：绩效评价结果显示各项目支出绩效情况较为理想，完成质量较高，完成效果较好，均达到了项目申请时设定的各项绩效目标</w:t>
      </w:r>
      <w:r>
        <w:rPr>
          <w:rFonts w:hint="eastAsia" w:ascii="仿宋_GB2312" w:hAnsi="仿宋_GB2312" w:eastAsia="仿宋_GB2312" w:cs="仿宋_GB2312"/>
          <w:color w:val="333333"/>
          <w:sz w:val="32"/>
          <w:szCs w:val="32"/>
        </w:rPr>
        <w:t>。</w:t>
      </w:r>
    </w:p>
    <w:p w14:paraId="32D57884">
      <w:pPr>
        <w:adjustRightInd w:val="0"/>
        <w:snapToGrid w:val="0"/>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（二）预算项目绩效自评结果</w:t>
      </w:r>
    </w:p>
    <w:p w14:paraId="7405EEE4">
      <w:pPr>
        <w:pStyle w:val="33"/>
        <w:spacing w:line="580" w:lineRule="exact"/>
        <w:ind w:firstLine="800" w:firstLineChars="250"/>
        <w:rPr>
          <w:rFonts w:ascii="仿宋_GB2312" w:hAnsi="仿宋_GB2312" w:eastAsia="仿宋_GB2312" w:cs="仿宋_GB2312"/>
          <w:b/>
          <w:sz w:val="32"/>
          <w:szCs w:val="32"/>
        </w:rPr>
      </w:pPr>
      <w:r>
        <w:rPr>
          <w:rFonts w:hint="eastAsia" w:ascii="仿宋_GB2312" w:hAnsi="仿宋_GB2312" w:eastAsia="仿宋_GB2312" w:cs="仿宋_GB2312"/>
          <w:color w:val="000000"/>
          <w:sz w:val="32"/>
          <w:szCs w:val="32"/>
        </w:rPr>
        <w:t>唐山高新区第三次全国土地调查项目</w:t>
      </w:r>
    </w:p>
    <w:p w14:paraId="675E7370">
      <w:pPr>
        <w:pStyle w:val="33"/>
        <w:spacing w:line="580" w:lineRule="exact"/>
        <w:ind w:firstLine="0"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1、财政项目资金基本情况</w:t>
      </w:r>
    </w:p>
    <w:p w14:paraId="5D680F09">
      <w:pPr>
        <w:spacing w:after="0" w:line="58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高新区第三次全国土地调查项目，由河北省第一测绘院主办，负责摸清高新区土地现状，建立数据库。经费开支由上级返还的新增经费中安排95.769万元（唐财资环【2018】13号20</w:t>
      </w:r>
    </w:p>
    <w:p w14:paraId="02CDDF66">
      <w:pPr>
        <w:spacing w:after="0" w:line="580" w:lineRule="exac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万元）。我辖区总面积100.32平方公里，现辖1个镇政府、3个办事处、</w:t>
      </w:r>
      <w:r>
        <w:rPr>
          <w:rFonts w:hint="eastAsia" w:ascii="仿宋_GB2312" w:hAnsi="仿宋_GB2312" w:eastAsia="仿宋_GB2312" w:cs="仿宋_GB2312"/>
          <w:sz w:val="32"/>
          <w:szCs w:val="32"/>
        </w:rPr>
        <w:t>52</w:t>
      </w:r>
      <w:r>
        <w:rPr>
          <w:rFonts w:hint="eastAsia" w:ascii="仿宋_GB2312" w:hAnsi="仿宋_GB2312" w:eastAsia="仿宋_GB2312" w:cs="仿宋_GB2312"/>
          <w:color w:val="000000"/>
          <w:sz w:val="32"/>
          <w:szCs w:val="32"/>
        </w:rPr>
        <w:t>个行政村。我区第三次全国土地调查工作自2018年5月成立领导小组之日起正式开展。</w:t>
      </w:r>
    </w:p>
    <w:p w14:paraId="167F6D9F">
      <w:pPr>
        <w:spacing w:after="0"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2018年6月，技术小组深入相关部门，收集了基础资料；2018年11月至2019年1月底，开展并完成了32.7平方公里的城镇村内部土地利用现状调查和52个村的权属调查工作。</w:t>
      </w:r>
    </w:p>
    <w:p w14:paraId="6E4420D0">
      <w:pPr>
        <w:spacing w:after="0"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2018年10月21日、12月21日，我区分两次接收到国家下发的内业信息提取成果，国家下发给我区不一致图斑共2509个，面积13.26公顷；我区自主提取不一致图班134个，面积0.04公顷。截至2019年3月底，我区已基本完成农村土地利用现状调查和不一致图班的外业举证工作。</w:t>
      </w:r>
    </w:p>
    <w:p w14:paraId="7A3C410E">
      <w:pPr>
        <w:spacing w:after="0"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目前全区100.32平方公里的内业矢量化已全部完成，正在进行数据自检及建库前各矢量数据图层的处理工作。</w:t>
      </w:r>
    </w:p>
    <w:p w14:paraId="1A5969BA">
      <w:pPr>
        <w:pStyle w:val="33"/>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2、绩效自评</w:t>
      </w:r>
    </w:p>
    <w:p w14:paraId="3B1E6FD3">
      <w:pPr>
        <w:pStyle w:val="33"/>
        <w:spacing w:line="580" w:lineRule="exact"/>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（1）前期准备</w:t>
      </w:r>
    </w:p>
    <w:p w14:paraId="69B98A03">
      <w:pPr>
        <w:spacing w:after="0"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一是设立机构，合理分工。为按时、保质、保量完成本次工作，成立了唐山高新区第三次全国土地调查领导小组，由管委会副主任任组长，组织各局主要负责人员共11人参加本次工作。</w:t>
      </w:r>
    </w:p>
    <w:p w14:paraId="2C294F29">
      <w:pPr>
        <w:spacing w:after="0"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二是组织制定工作方案。为使工作平稳有序进行，我们在正式拟定了详细的工作方案，方案内容包括工作内容、方法、步骤、要求、时间等方面。</w:t>
      </w:r>
    </w:p>
    <w:p w14:paraId="2DBF90E1">
      <w:pPr>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三是做好预算申请工作。我分局多次与财政部门对接，现已经开展第三次土地调查经费预算编制工作，顺利列入2019年财政预算，以此保证土地调查工作顺利进行。</w:t>
      </w:r>
    </w:p>
    <w:p w14:paraId="4A58A9CA">
      <w:pPr>
        <w:pStyle w:val="33"/>
        <w:spacing w:line="58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（2）组织实施</w:t>
      </w:r>
    </w:p>
    <w:p w14:paraId="33627C48">
      <w:pPr>
        <w:widowControl/>
        <w:spacing w:after="0" w:line="58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sz w:val="32"/>
          <w:szCs w:val="32"/>
        </w:rPr>
        <w:t>在接到唐山高新区管委会关于第三次全国土地调查</w:t>
      </w:r>
      <w:r>
        <w:rPr>
          <w:rFonts w:hint="eastAsia" w:ascii="仿宋_GB2312" w:hAnsi="仿宋_GB2312" w:eastAsia="仿宋_GB2312" w:cs="仿宋_GB2312"/>
          <w:color w:val="000000"/>
          <w:kern w:val="0"/>
          <w:sz w:val="32"/>
          <w:szCs w:val="32"/>
        </w:rPr>
        <w:t>工作通知后，我单位第一时间与相关各部门沟通，采用实地调查和卫星影像、信息数据平台共享等手段方式相结合的方式初步完成了资料收集。然后组织人员培训，主动积极地参加省市级关于第三次全国土地调查的培训和学习。最后通过公开招投标的方式确定了调查队伍，并在我区大力地开展调查宣传工作。</w:t>
      </w:r>
    </w:p>
    <w:p w14:paraId="07E08B50">
      <w:pPr>
        <w:widowControl/>
        <w:spacing w:after="0" w:line="58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开展农村土地利用现状调查时，作业队伍以整合数据库为基础，制作外业调查数据并对图斑进行综合调绘及补测。城镇村庄内部的土地利用现状开展调查时充分利用地籍调查和不动产统一登记成果，查清城镇村庄内部土地利用状况。调查时采用室内勾绘和实地核实相结合的方法，确定城镇、村庄内部的每一块地的土地利用类型。对永久基本农田范围以外的耕地图斑和</w:t>
      </w:r>
      <w:r>
        <w:rPr>
          <w:rFonts w:hint="eastAsia" w:ascii="仿宋_GB2312" w:hAnsi="仿宋_GB2312" w:eastAsia="仿宋_GB2312" w:cs="仿宋_GB2312"/>
          <w:color w:val="000000"/>
          <w:sz w:val="32"/>
          <w:szCs w:val="32"/>
        </w:rPr>
        <w:t>批准未建设的建设用地，已按实地现状进行调查</w:t>
      </w:r>
      <w:r>
        <w:rPr>
          <w:rFonts w:hint="eastAsia" w:ascii="仿宋_GB2312" w:hAnsi="仿宋_GB2312" w:eastAsia="仿宋_GB2312" w:cs="仿宋_GB2312"/>
          <w:color w:val="000000"/>
          <w:kern w:val="0"/>
          <w:sz w:val="32"/>
          <w:szCs w:val="32"/>
        </w:rPr>
        <w:t>。</w:t>
      </w:r>
    </w:p>
    <w:p w14:paraId="0495DEA0">
      <w:pPr>
        <w:widowControl/>
        <w:spacing w:after="0" w:line="58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现已完成了对农村、城镇等土地利用现状的实地调查共计100.32平方公里，完善了土地利用信息，加速了数据库的建设。</w:t>
      </w:r>
    </w:p>
    <w:p w14:paraId="4E6BDCA7">
      <w:pPr>
        <w:pStyle w:val="33"/>
        <w:spacing w:line="58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（3）评价分析</w:t>
      </w:r>
    </w:p>
    <w:p w14:paraId="3DA51044">
      <w:pPr>
        <w:widowControl/>
        <w:spacing w:after="0" w:line="580" w:lineRule="exact"/>
        <w:ind w:firstLine="640" w:firstLineChars="200"/>
        <w:jc w:val="left"/>
        <w:rPr>
          <w:rFonts w:ascii="仿宋_GB2312" w:hAnsi="仿宋_GB2312" w:eastAsia="仿宋_GB2312" w:cs="仿宋_GB2312"/>
          <w:b/>
          <w:sz w:val="32"/>
          <w:szCs w:val="32"/>
        </w:rPr>
      </w:pPr>
      <w:r>
        <w:rPr>
          <w:rFonts w:hint="eastAsia" w:ascii="仿宋_GB2312" w:hAnsi="仿宋_GB2312" w:eastAsia="仿宋_GB2312" w:cs="仿宋_GB2312"/>
          <w:sz w:val="32"/>
          <w:szCs w:val="32"/>
        </w:rPr>
        <w:t xml:space="preserve"> 唐山高新区第三次全国土地调查项目充分利用内外业人力物力及高科技方式，使下达资金得到高效的利用。</w:t>
      </w:r>
    </w:p>
    <w:p w14:paraId="12E0A48D">
      <w:pPr>
        <w:pStyle w:val="33"/>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3、绩效指标完成情况分析</w:t>
      </w:r>
    </w:p>
    <w:p w14:paraId="772CBF16">
      <w:pPr>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唐山高新区第三次全国土地调查项目绩效指标完成情况为86.77%，评价等级为优，完成率较高，成绩显著，结果准确详尽，数据详实，调查范围全面，在全省同级开发区中排在前列。</w:t>
      </w:r>
    </w:p>
    <w:p w14:paraId="446D5BC1">
      <w:pPr>
        <w:pStyle w:val="33"/>
        <w:spacing w:line="58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4、绩效评价结果拟应用情况</w:t>
      </w:r>
    </w:p>
    <w:p w14:paraId="003647CC">
      <w:pPr>
        <w:spacing w:after="0"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年度产出指标和绩效指标均为86.77%，评价等级为优良。唐山高新区第三次全国土地调查</w:t>
      </w:r>
      <w:bookmarkStart w:id="0" w:name="_GoBack"/>
      <w:bookmarkEnd w:id="0"/>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 xml:space="preserve">全年预算数20万与实际执行数相符。 </w:t>
      </w:r>
    </w:p>
    <w:p w14:paraId="6C00293A">
      <w:pPr>
        <w:pStyle w:val="3"/>
        <w:spacing w:before="0" w:after="0" w:line="580" w:lineRule="exact"/>
        <w:ind w:firstLine="640" w:firstLineChars="200"/>
        <w:rPr>
          <w:rFonts w:ascii="黑体" w:eastAsia="黑体" w:cs="Times New Roman"/>
          <w:b w:val="0"/>
          <w:bCs w:val="0"/>
        </w:rPr>
      </w:pPr>
      <w:r>
        <w:rPr>
          <w:rFonts w:hint="eastAsia" w:ascii="黑体" w:eastAsia="黑体" w:cs="Times New Roman"/>
          <w:b w:val="0"/>
          <w:bCs w:val="0"/>
        </w:rPr>
        <w:t>七、其他重要事项的说明</w:t>
      </w:r>
    </w:p>
    <w:p w14:paraId="0A890F25">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（一）机关运行经费情况</w:t>
      </w:r>
    </w:p>
    <w:p w14:paraId="343C3B3C">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机关运行经费支出87.18万元，比2017年度增加28.11万元，增长32.24%。主要原因是其他交通费的增加及2018年度空港城分局的划转。与2018年初预算减少22.23万元，减少20.31%。主要原因是坚持勤俭节支原则，力行降低各项运行经费。</w:t>
      </w:r>
    </w:p>
    <w:p w14:paraId="43EBFBE4">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（二）政府采购情况</w:t>
      </w:r>
    </w:p>
    <w:p w14:paraId="13E772CA">
      <w:pPr>
        <w:widowControl/>
        <w:spacing w:after="0" w:line="580" w:lineRule="exact"/>
        <w:ind w:firstLine="640" w:firstLineChars="200"/>
        <w:jc w:val="left"/>
        <w:rPr>
          <w:rFonts w:ascii="仿宋_GB2312" w:eastAsia="仿宋_GB2312" w:cs="DengXian-Regular"/>
          <w:sz w:val="32"/>
          <w:szCs w:val="32"/>
        </w:rPr>
      </w:pPr>
      <w:r>
        <w:rPr>
          <w:rFonts w:hint="eastAsia" w:ascii="仿宋_GB2312" w:eastAsia="仿宋_GB2312" w:cs="DengXian-Regular"/>
          <w:sz w:val="32"/>
          <w:szCs w:val="32"/>
        </w:rPr>
        <w:t>本部门2018年度政府采购支出总额94.8万元，从采购类型来看，</w:t>
      </w:r>
      <w:r>
        <w:rPr>
          <w:rFonts w:ascii="仿宋_GB2312" w:hAnsi="仿宋_GB2312" w:eastAsia="仿宋_GB2312" w:cs="仿宋_GB2312"/>
          <w:color w:val="000000"/>
          <w:kern w:val="0"/>
          <w:sz w:val="32"/>
          <w:szCs w:val="32"/>
        </w:rPr>
        <w:t>政府采购货物支出</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万元、政府采购工程支出</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 xml:space="preserve">万元、政府采购服务支出 </w:t>
      </w:r>
      <w:r>
        <w:rPr>
          <w:rFonts w:hint="eastAsia" w:ascii="仿宋_GB2312" w:hAnsi="仿宋_GB2312" w:eastAsia="仿宋_GB2312" w:cs="仿宋_GB2312"/>
          <w:color w:val="000000"/>
          <w:kern w:val="0"/>
          <w:sz w:val="32"/>
          <w:szCs w:val="32"/>
        </w:rPr>
        <w:t>94.8</w:t>
      </w:r>
      <w:r>
        <w:rPr>
          <w:rFonts w:ascii="仿宋_GB2312" w:hAnsi="仿宋_GB2312" w:eastAsia="仿宋_GB2312" w:cs="仿宋_GB2312"/>
          <w:color w:val="000000"/>
          <w:kern w:val="0"/>
          <w:sz w:val="32"/>
          <w:szCs w:val="32"/>
        </w:rPr>
        <w:t>万元。授予</w:t>
      </w:r>
      <w:r>
        <w:rPr>
          <w:rFonts w:hint="eastAsia" w:ascii="宋体" w:hAnsi="宋体" w:cs="宋体"/>
          <w:color w:val="000000"/>
          <w:kern w:val="0"/>
          <w:sz w:val="32"/>
          <w:szCs w:val="32"/>
        </w:rPr>
        <w:t>中小</w:t>
      </w:r>
      <w:r>
        <w:rPr>
          <w:rFonts w:ascii="仿宋_GB2312" w:hAnsi="仿宋_GB2312" w:eastAsia="仿宋_GB2312" w:cs="仿宋_GB2312"/>
          <w:color w:val="000000"/>
          <w:kern w:val="0"/>
          <w:sz w:val="32"/>
          <w:szCs w:val="32"/>
        </w:rPr>
        <w:t>企业合同金额</w:t>
      </w:r>
      <w:r>
        <w:rPr>
          <w:rFonts w:hint="eastAsia" w:ascii="仿宋_GB2312" w:hAnsi="仿宋_GB2312" w:eastAsia="仿宋_GB2312" w:cs="仿宋_GB2312"/>
          <w:color w:val="000000"/>
          <w:kern w:val="0"/>
          <w:sz w:val="32"/>
          <w:szCs w:val="32"/>
        </w:rPr>
        <w:t>94.8</w:t>
      </w:r>
      <w:r>
        <w:rPr>
          <w:rFonts w:ascii="仿宋_GB2312" w:hAnsi="仿宋_GB2312" w:eastAsia="仿宋_GB2312" w:cs="仿宋_GB2312"/>
          <w:color w:val="000000"/>
          <w:kern w:val="0"/>
          <w:sz w:val="32"/>
          <w:szCs w:val="32"/>
        </w:rPr>
        <w:t xml:space="preserve">万元，占政府采购支出总额的 </w:t>
      </w:r>
      <w:r>
        <w:rPr>
          <w:rFonts w:hint="eastAsia" w:ascii="仿宋_GB2312" w:hAnsi="仿宋_GB2312" w:eastAsia="仿宋_GB2312" w:cs="仿宋_GB2312"/>
          <w:color w:val="000000"/>
          <w:kern w:val="0"/>
          <w:sz w:val="32"/>
          <w:szCs w:val="32"/>
        </w:rPr>
        <w:t>100</w:t>
      </w:r>
      <w:r>
        <w:rPr>
          <w:rFonts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rPr>
        <w:t>，</w:t>
      </w:r>
      <w:r>
        <w:rPr>
          <w:rFonts w:ascii="仿宋_GB2312" w:hAnsi="仿宋_GB2312" w:eastAsia="仿宋_GB2312" w:cs="仿宋_GB2312"/>
          <w:color w:val="000000"/>
          <w:kern w:val="0"/>
          <w:sz w:val="32"/>
          <w:szCs w:val="32"/>
        </w:rPr>
        <w:t>其中授予小微企业合同金额</w:t>
      </w:r>
      <w:r>
        <w:rPr>
          <w:rFonts w:hint="eastAsia" w:ascii="仿宋_GB2312" w:hAnsi="仿宋_GB2312" w:eastAsia="仿宋_GB2312" w:cs="仿宋_GB2312"/>
          <w:color w:val="000000"/>
          <w:kern w:val="0"/>
          <w:sz w:val="32"/>
          <w:szCs w:val="32"/>
        </w:rPr>
        <w:t>94.8</w:t>
      </w:r>
      <w:r>
        <w:rPr>
          <w:rFonts w:ascii="仿宋_GB2312" w:hAnsi="仿宋_GB2312" w:eastAsia="仿宋_GB2312" w:cs="仿宋_GB2312"/>
          <w:color w:val="000000"/>
          <w:kern w:val="0"/>
          <w:sz w:val="32"/>
          <w:szCs w:val="32"/>
        </w:rPr>
        <w:t xml:space="preserve">万元，占政府采购支出总额的 </w:t>
      </w:r>
      <w:r>
        <w:rPr>
          <w:rFonts w:hint="eastAsia" w:ascii="仿宋_GB2312" w:hAnsi="仿宋_GB2312" w:eastAsia="仿宋_GB2312" w:cs="仿宋_GB2312"/>
          <w:color w:val="000000"/>
          <w:kern w:val="0"/>
          <w:sz w:val="32"/>
          <w:szCs w:val="32"/>
        </w:rPr>
        <w:t>100</w:t>
      </w:r>
      <w:r>
        <w:rPr>
          <w:rFonts w:ascii="仿宋_GB2312" w:hAnsi="仿宋_GB2312" w:eastAsia="仿宋_GB2312" w:cs="仿宋_GB2312"/>
          <w:color w:val="000000"/>
          <w:kern w:val="0"/>
          <w:sz w:val="32"/>
          <w:szCs w:val="32"/>
        </w:rPr>
        <w:t>%。</w:t>
      </w:r>
    </w:p>
    <w:p w14:paraId="22744A5C">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（三）国有资产占用情况</w:t>
      </w:r>
    </w:p>
    <w:p w14:paraId="4087B028">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截至2018年12月31日，本部门共有车辆5辆，比上年无增减变化，其中，机要通信用车1辆，执法执勤用车4辆。单位价值</w:t>
      </w:r>
      <w:r>
        <w:rPr>
          <w:rFonts w:hint="eastAsia" w:ascii="仿宋_GB2312" w:hAnsi="TimesNewRomanPSMT" w:eastAsia="仿宋_GB2312" w:cs="TimesNewRomanPSMT"/>
          <w:sz w:val="32"/>
          <w:szCs w:val="32"/>
        </w:rPr>
        <w:t>50</w:t>
      </w:r>
      <w:r>
        <w:rPr>
          <w:rFonts w:hint="eastAsia" w:ascii="仿宋_GB2312" w:eastAsia="仿宋_GB2312" w:cs="DengXian-Regular"/>
          <w:sz w:val="32"/>
          <w:szCs w:val="32"/>
        </w:rPr>
        <w:t>万元以上通用设备0台，与上年无增减变化；单位价值100万元以上专用设备0台，与上年无增减变化。</w:t>
      </w:r>
    </w:p>
    <w:p w14:paraId="0A2FBF31">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（四）其他需要说明的情况</w:t>
      </w:r>
    </w:p>
    <w:p w14:paraId="268B03D1">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1、本部门2018年度国有资本经营预算无收支及结转结余情况，故国有资本经营预算财政拨款支出表以空表列示。</w:t>
      </w:r>
    </w:p>
    <w:p w14:paraId="4C1F7552">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2、由于决算公开表格中金额数值应当保留两位小数，公开数据为四舍五入所得结</w:t>
      </w:r>
      <w:r>
        <w:rPr>
          <w:sz w:val="44"/>
        </w:rPr>
        <w:pict>
          <v:group id="1112" o:spid="_x0000_s1036" o:spt="203" style="position:absolute;left:0pt;margin-left:-0.55pt;margin-top:29.3pt;height:43.95pt;width:301.85pt;mso-position-horizontal-relative:page;mso-position-vertical-relative:page;z-index:251700224;mso-width-relative:page;mso-height-relative:page;" coordsize="0,203203">
            <o:lock v:ext="edit"/>
            <v:rect id="1113" o:spid="_x0000_s1038" o:spt="1" style="position:absolute;left:4551;top:52615;height:1175;width:8546;" fillcolor="#D8D8D8" filled="t" stroked="f" coordsize="21600,21600">
              <v:path/>
              <v:fill on="t" focussize="0,0"/>
              <v:stroke on="f" weight="2pt" color="#AF7621"/>
              <v:imagedata o:title=""/>
              <o:lock v:ext="edit"/>
            </v:rect>
            <v:rect id="1114" o:spid="_x0000_s1037" o:spt="1" style="position:absolute;left:4577;top:52890;height:1123;width:8324;v-text-anchor:middle;" fillcolor="#AD002D" filled="t" stroked="t" coordsize="21600,21600">
              <v:path/>
              <v:fill on="t" focussize="0,0"/>
              <v:stroke weight="2pt" color="#AF7621"/>
              <v:imagedata o:title=""/>
              <o:lock v:ext="edit"/>
              <v:textbox>
                <w:txbxContent>
                  <w:p w14:paraId="19925BAD">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14:paraId="5677FED0">
                    <w:pPr>
                      <w:jc w:val="center"/>
                    </w:pPr>
                  </w:p>
                </w:txbxContent>
              </v:textbox>
            </v:rect>
            <w10:anchorlock/>
          </v:group>
        </w:pict>
      </w:r>
      <w:r>
        <w:rPr>
          <w:rFonts w:hint="eastAsia" w:ascii="仿宋_GB2312" w:eastAsia="仿宋_GB2312" w:cs="DengXian-Regular"/>
          <w:sz w:val="32"/>
          <w:szCs w:val="32"/>
        </w:rPr>
        <w:t>果，个别数据合计项与分项之和存在小数点后差额，特此说明。</w:t>
      </w:r>
    </w:p>
    <w:p w14:paraId="44792D5D">
      <w:pPr>
        <w:widowControl/>
        <w:spacing w:after="0" w:line="580" w:lineRule="exact"/>
        <w:ind w:firstLine="883" w:firstLineChars="200"/>
        <w:jc w:val="left"/>
        <w:rPr>
          <w:rFonts w:ascii="宋体" w:hAnsi="宋体" w:cs="MS-UIGothic,Bold"/>
          <w:b/>
          <w:bCs/>
          <w:kern w:val="0"/>
          <w:sz w:val="44"/>
          <w:szCs w:val="44"/>
        </w:rPr>
        <w:sectPr>
          <w:pgSz w:w="11906" w:h="16838"/>
          <w:pgMar w:top="2098" w:right="1474" w:bottom="1984" w:left="1588" w:header="851" w:footer="992" w:gutter="0"/>
          <w:cols w:space="0" w:num="1"/>
          <w:docGrid w:type="lines" w:linePitch="312" w:charSpace="0"/>
        </w:sectPr>
      </w:pPr>
    </w:p>
    <w:p w14:paraId="3F56AE1C">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rFonts w:hint="eastAsia" w:ascii="宋体" w:hAnsi="宋体" w:cs="ArialUnicodeMS"/>
          <w:color w:val="000000"/>
          <w:kern w:val="0"/>
        </w:rPr>
        <w:drawing>
          <wp:anchor distT="0" distB="0" distL="0" distR="0" simplePos="0" relativeHeight="251661312" behindDoc="1" locked="0" layoutInCell="1" allowOverlap="1">
            <wp:simplePos x="0" y="0"/>
            <wp:positionH relativeFrom="column">
              <wp:posOffset>-1021080</wp:posOffset>
            </wp:positionH>
            <wp:positionV relativeFrom="paragraph">
              <wp:posOffset>-1337945</wp:posOffset>
            </wp:positionV>
            <wp:extent cx="7550150" cy="10680065"/>
            <wp:effectExtent l="0" t="0" r="12700" b="6985"/>
            <wp:wrapNone/>
            <wp:docPr id="1115" name="图片 21"/>
            <wp:cNvGraphicFramePr/>
            <a:graphic xmlns:a="http://schemas.openxmlformats.org/drawingml/2006/main">
              <a:graphicData uri="http://schemas.openxmlformats.org/drawingml/2006/picture">
                <pic:pic xmlns:pic="http://schemas.openxmlformats.org/drawingml/2006/picture">
                  <pic:nvPicPr>
                    <pic:cNvPr id="1115" name="图片 21"/>
                    <pic:cNvPicPr/>
                  </pic:nvPicPr>
                  <pic:blipFill>
                    <a:blip r:embed="rId10" cstate="print"/>
                    <a:srcRect/>
                    <a:stretch>
                      <a:fillRect/>
                    </a:stretch>
                  </pic:blipFill>
                  <pic:spPr>
                    <a:xfrm>
                      <a:off x="0" y="0"/>
                      <a:ext cx="7550150" cy="10680064"/>
                    </a:xfrm>
                    <a:prstGeom prst="rect">
                      <a:avLst/>
                    </a:prstGeom>
                  </pic:spPr>
                </pic:pic>
              </a:graphicData>
            </a:graphic>
          </wp:anchor>
        </w:drawing>
      </w:r>
      <w:r>
        <w:rPr>
          <w:sz w:val="72"/>
        </w:rPr>
        <w:pict>
          <v:rect id="1116" o:spid="_x0000_s1035" o:spt="1" style="position:absolute;left:0pt;margin-left:-78.7pt;margin-top:232.8pt;height:159.1pt;width:596.2pt;z-index:251689984;mso-width-relative:page;mso-height-relative:page;" filled="f" stroked="f" coordsize="21600,21600">
            <v:path/>
            <v:fill on="f" focussize="0,0"/>
            <v:stroke on="f" weight="0.5pt"/>
            <v:imagedata o:title=""/>
            <o:lock v:ext="edit"/>
            <v:textbox>
              <w:txbxContent>
                <w:p w14:paraId="2AAD0CBD">
                  <w:pPr>
                    <w:widowControl/>
                    <w:spacing w:line="1200" w:lineRule="exact"/>
                    <w:jc w:val="center"/>
                    <w:rPr>
                      <w:rFonts w:ascii="黑体" w:hAnsi="宋体" w:eastAsia="黑体"/>
                      <w:color w:val="FDEFBE"/>
                      <w:sz w:val="96"/>
                      <w:szCs w:val="96"/>
                    </w:rPr>
                  </w:pPr>
                  <w:r>
                    <w:rPr>
                      <w:rFonts w:hint="eastAsia" w:ascii="黑体" w:hAnsi="宋体" w:eastAsia="黑体"/>
                      <w:color w:val="FDEFBE"/>
                      <w:sz w:val="96"/>
                      <w:szCs w:val="96"/>
                    </w:rPr>
                    <w:t>第四部分</w:t>
                  </w:r>
                </w:p>
                <w:p w14:paraId="31D3C26D">
                  <w:pPr>
                    <w:widowControl/>
                    <w:spacing w:line="1200" w:lineRule="exact"/>
                    <w:jc w:val="center"/>
                    <w:rPr>
                      <w:color w:val="FDEFBE"/>
                      <w:sz w:val="96"/>
                      <w:szCs w:val="96"/>
                    </w:rPr>
                  </w:pPr>
                  <w:r>
                    <w:rPr>
                      <w:rFonts w:hint="eastAsia" w:ascii="黑体" w:hAnsi="宋体" w:eastAsia="黑体"/>
                      <w:color w:val="FDEFBE"/>
                      <w:sz w:val="96"/>
                      <w:szCs w:val="96"/>
                    </w:rPr>
                    <w:t>相关名词解释</w:t>
                  </w:r>
                </w:p>
              </w:txbxContent>
            </v:textbox>
          </v:rect>
        </w:pict>
      </w:r>
    </w:p>
    <w:p w14:paraId="6538DF9E">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（一）财政拨款收入：</w:t>
      </w:r>
      <w:r>
        <w:rPr>
          <w:rFonts w:hint="eastAsia" w:ascii="仿宋_GB2312" w:hAnsi="宋体" w:eastAsia="仿宋_GB2312"/>
          <w:color w:val="000000"/>
          <w:kern w:val="0"/>
          <w:sz w:val="32"/>
          <w:szCs w:val="32"/>
        </w:rPr>
        <w:t>本年度从本级财政部门取得的财政拨款，包括一般公共预算财政拨款和政府性基金预算财政拨款。</w:t>
      </w:r>
    </w:p>
    <w:p w14:paraId="3DA321D3">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（二）事业收入：</w:t>
      </w:r>
      <w:r>
        <w:rPr>
          <w:rFonts w:hint="eastAsia" w:ascii="仿宋_GB2312" w:hAnsi="宋体" w:eastAsia="仿宋_GB2312"/>
          <w:color w:val="000000"/>
          <w:kern w:val="0"/>
          <w:sz w:val="32"/>
          <w:szCs w:val="32"/>
        </w:rPr>
        <w:t>指事业单位开展专业业务活动及辅助活动所取得的收入。</w:t>
      </w:r>
    </w:p>
    <w:p w14:paraId="20CAC627">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（三）其他收入：</w:t>
      </w:r>
      <w:r>
        <w:rPr>
          <w:rFonts w:hint="eastAsia" w:ascii="仿宋_GB2312" w:hAnsi="宋体" w:eastAsia="仿宋_GB2312"/>
          <w:color w:val="000000"/>
          <w:kern w:val="0"/>
          <w:sz w:val="32"/>
          <w:szCs w:val="32"/>
        </w:rPr>
        <w:t>指除上述“财政拨款收入”、“事业收入”、“经营收入”等以外的收入。</w:t>
      </w:r>
    </w:p>
    <w:p w14:paraId="0315B3FA">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（四）用事业基金弥补收支差额：</w:t>
      </w:r>
      <w:r>
        <w:rPr>
          <w:rFonts w:hint="eastAsia" w:ascii="仿宋_GB2312" w:hAnsi="宋体" w:eastAsia="仿宋_GB2312"/>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14:paraId="4B4B207B">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（五）年初结转和结余：</w:t>
      </w:r>
      <w:r>
        <w:rPr>
          <w:rFonts w:hint="eastAsia" w:ascii="仿宋_GB2312" w:hAnsi="宋体" w:eastAsia="仿宋_GB2312"/>
          <w:color w:val="000000"/>
          <w:kern w:val="0"/>
          <w:sz w:val="32"/>
          <w:szCs w:val="32"/>
        </w:rPr>
        <w:t>指以前年度尚未完成、结转到本年仍按原规定用途继续使用的资金，或项目已完成等产生的结余资金。</w:t>
      </w:r>
    </w:p>
    <w:p w14:paraId="599D8131">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（六）结余分配：</w:t>
      </w:r>
      <w:r>
        <w:rPr>
          <w:rFonts w:hint="eastAsia" w:ascii="仿宋_GB2312" w:hAnsi="宋体" w:eastAsia="仿宋_GB2312"/>
          <w:color w:val="000000"/>
          <w:kern w:val="0"/>
          <w:sz w:val="32"/>
          <w:szCs w:val="32"/>
        </w:rPr>
        <w:t>指事业单位按照事业单位会计制度的规定从非财政补助结余中分配的事业基金和职工福利基金等。</w:t>
      </w:r>
    </w:p>
    <w:p w14:paraId="5BC21E6D">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（七）年末结转和结</w:t>
      </w:r>
      <w:r>
        <w:rPr>
          <w:rFonts w:ascii="仿宋_GB2312" w:hAnsi="宋体" w:eastAsia="仿宋_GB2312"/>
          <w:b/>
          <w:bCs/>
          <w:color w:val="000000"/>
          <w:kern w:val="0"/>
          <w:sz w:val="32"/>
          <w:szCs w:val="32"/>
        </w:rPr>
        <w:pict>
          <v:group id="1117" o:spid="_x0000_s1032" o:spt="203" style="position:absolute;left:0pt;margin-left:-81.05pt;margin-top:39.65pt;height:43.95pt;width:264.85pt;mso-position-vertical-relative:page;z-index:251693056;mso-width-relative:page;mso-height-relative:page;" coordsize="0,203203">
            <o:lock v:ext="edit"/>
            <v:rect id="1118" o:spid="_x0000_s1034" o:spt="1" style="position:absolute;left:4551;top:52615;height:1175;width:8546;" fillcolor="#D8D8D8" filled="t" stroked="f" coordsize="21600,21600">
              <v:path/>
              <v:fill on="t" focussize="0,0"/>
              <v:stroke on="f" weight="2pt" color="#AF7621"/>
              <v:imagedata o:title=""/>
              <o:lock v:ext="edit"/>
            </v:rect>
            <v:rect id="1119" o:spid="_x0000_s1033" o:spt="1" style="position:absolute;left:4577;top:52890;height:1123;width:8324;v-text-anchor:middle;" fillcolor="#AD002D" filled="t" stroked="t" coordsize="21600,21600">
              <v:path/>
              <v:fill on="t" focussize="0,0"/>
              <v:stroke weight="2pt" color="#AF7621"/>
              <v:imagedata o:title=""/>
              <o:lock v:ext="edit"/>
              <v:textbox>
                <w:txbxContent>
                  <w:p w14:paraId="0A459C70">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14:paraId="074F561F">
                    <w:pPr>
                      <w:jc w:val="center"/>
                    </w:pPr>
                  </w:p>
                </w:txbxContent>
              </v:textbox>
            </v:rect>
            <w10:anchorlock/>
          </v:group>
        </w:pict>
      </w:r>
      <w:r>
        <w:rPr>
          <w:rFonts w:hint="eastAsia" w:ascii="仿宋_GB2312" w:hAnsi="宋体" w:eastAsia="仿宋_GB2312"/>
          <w:b/>
          <w:bCs/>
          <w:color w:val="000000"/>
          <w:kern w:val="0"/>
          <w:sz w:val="32"/>
          <w:szCs w:val="32"/>
        </w:rPr>
        <w:t>余：</w:t>
      </w:r>
      <w:r>
        <w:rPr>
          <w:rFonts w:hint="eastAsia" w:ascii="仿宋_GB2312" w:hAnsi="宋体" w:eastAsia="仿宋_GB2312"/>
          <w:color w:val="000000"/>
          <w:kern w:val="0"/>
          <w:sz w:val="32"/>
          <w:szCs w:val="32"/>
        </w:rPr>
        <w:t>指单位按有关规定结转到下年或以后年度继续使用的资金，或项目已完成等产生的结余资金。</w:t>
      </w:r>
    </w:p>
    <w:p w14:paraId="1B8992E7">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（八）基本支出：</w:t>
      </w:r>
      <w:r>
        <w:rPr>
          <w:rFonts w:hint="eastAsia" w:ascii="仿宋_GB2312" w:hAnsi="宋体" w:eastAsia="仿宋_GB2312"/>
          <w:color w:val="000000"/>
          <w:kern w:val="0"/>
          <w:sz w:val="32"/>
          <w:szCs w:val="32"/>
        </w:rPr>
        <w:t>填列单位为保障机构正常运转、完成日常工作任务而发生的各项支出。</w:t>
      </w:r>
    </w:p>
    <w:p w14:paraId="3B2E8E42">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（九）项目支出：</w:t>
      </w:r>
      <w:r>
        <w:rPr>
          <w:rFonts w:hint="eastAsia" w:ascii="仿宋_GB2312" w:hAnsi="宋体" w:eastAsia="仿宋_GB2312"/>
          <w:color w:val="000000"/>
          <w:kern w:val="0"/>
          <w:sz w:val="32"/>
          <w:szCs w:val="32"/>
        </w:rPr>
        <w:t>填列单位为完成特定的行政工作任务或事业发展目标，在基本支出之外发生的各项支出。</w:t>
      </w:r>
    </w:p>
    <w:p w14:paraId="0FA26EC1">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（十）基本建设支出：</w:t>
      </w:r>
      <w:r>
        <w:rPr>
          <w:rFonts w:hint="eastAsia" w:ascii="仿宋_GB2312" w:hAnsi="宋体" w:eastAsia="仿宋_GB2312"/>
          <w:color w:val="000000"/>
          <w:kern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14:paraId="31B49FE4">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（十一）其他资本性支出：</w:t>
      </w:r>
      <w:r>
        <w:rPr>
          <w:rFonts w:hint="eastAsia" w:ascii="仿宋_GB2312" w:hAnsi="宋体" w:eastAsia="仿宋_GB2312"/>
          <w:color w:val="000000"/>
          <w:kern w:val="0"/>
          <w:sz w:val="32"/>
          <w:szCs w:val="32"/>
        </w:rPr>
        <w:t>填列由各级非发展与改革部门集中安排的用于购置固定资产、战备性和应急性储备、土地和无形资产，以及购建基础设施、大型修缮和财政支持企业更新改造所发生的支出。</w:t>
      </w:r>
    </w:p>
    <w:p w14:paraId="5059A854">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（十二）“三公”经费：</w:t>
      </w:r>
      <w:r>
        <w:rPr>
          <w:rFonts w:hint="eastAsia" w:ascii="仿宋_GB2312" w:hAnsi="宋体" w:eastAsia="仿宋_GB2312"/>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Pr>
          <w:rFonts w:ascii="仿宋_GB2312" w:hAnsi="宋体" w:eastAsia="仿宋_GB2312"/>
          <w:b/>
          <w:bCs/>
          <w:color w:val="000000"/>
          <w:kern w:val="0"/>
          <w:sz w:val="32"/>
          <w:szCs w:val="32"/>
        </w:rPr>
        <w:pict>
          <v:group id="1120" o:spid="_x0000_s1029" o:spt="203" style="position:absolute;left:0pt;margin-left:-81.05pt;margin-top:39.65pt;height:43.95pt;width:264.85pt;mso-position-vertical-relative:page;z-index:251701248;mso-width-relative:page;mso-height-relative:page;" coordsize="0,203203">
            <o:lock v:ext="edit"/>
            <v:rect id="1121" o:spid="_x0000_s1031" o:spt="1" style="position:absolute;left:4551;top:52615;height:1175;width:8546;" fillcolor="#D8D8D8" filled="t" stroked="f" coordsize="21600,21600">
              <v:path/>
              <v:fill on="t" focussize="0,0"/>
              <v:stroke on="f" weight="2pt" color="#AF7621"/>
              <v:imagedata o:title=""/>
              <o:lock v:ext="edit"/>
            </v:rect>
            <v:rect id="1122" o:spid="_x0000_s1030" o:spt="1" style="position:absolute;left:4577;top:52890;height:1123;width:8324;v-text-anchor:middle;" fillcolor="#AD002D" filled="t" stroked="t" coordsize="21600,21600">
              <v:path/>
              <v:fill on="t" focussize="0,0"/>
              <v:stroke weight="2pt" color="#AF7621"/>
              <v:imagedata o:title=""/>
              <o:lock v:ext="edit"/>
              <v:textbox>
                <w:txbxContent>
                  <w:p w14:paraId="4C2BE7CB">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14:paraId="52931D4A">
                    <w:pPr>
                      <w:jc w:val="center"/>
                    </w:pPr>
                  </w:p>
                </w:txbxContent>
              </v:textbox>
            </v:rect>
            <w10:anchorlock/>
          </v:group>
        </w:pict>
      </w:r>
      <w:r>
        <w:rPr>
          <w:rFonts w:hint="eastAsia" w:ascii="仿宋_GB2312" w:hAnsi="宋体" w:eastAsia="仿宋_GB2312"/>
          <w:color w:val="000000"/>
          <w:kern w:val="0"/>
          <w:sz w:val="32"/>
          <w:szCs w:val="32"/>
        </w:rPr>
        <w:t>待费反映单位按规定开支的各类公务接待（含外宾接待）支出。</w:t>
      </w:r>
    </w:p>
    <w:p w14:paraId="6058464D">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（十三）其</w:t>
      </w:r>
      <w:r>
        <w:rPr>
          <w:rFonts w:ascii="仿宋_GB2312" w:hAnsi="宋体" w:eastAsia="仿宋_GB2312"/>
          <w:b/>
          <w:bCs/>
          <w:color w:val="000000"/>
          <w:kern w:val="0"/>
          <w:sz w:val="32"/>
          <w:szCs w:val="32"/>
        </w:rPr>
        <w:pict>
          <v:group id="1123" o:spid="_x0000_s1026" o:spt="203" style="position:absolute;left:0pt;margin-left:-81.05pt;margin-top:39.65pt;height:43.95pt;width:264.85pt;mso-position-vertical-relative:page;z-index:251703296;mso-width-relative:page;mso-height-relative:page;" coordsize="0,203203">
            <o:lock v:ext="edit"/>
            <v:rect id="1124" o:spid="_x0000_s1028" o:spt="1" style="position:absolute;left:4551;top:52615;height:1175;width:8546;" fillcolor="#D8D8D8" filled="t" stroked="f" coordsize="21600,21600">
              <v:path/>
              <v:fill on="t" focussize="0,0"/>
              <v:stroke on="f" weight="2pt" color="#AF7621"/>
              <v:imagedata o:title=""/>
              <o:lock v:ext="edit"/>
            </v:rect>
            <v:rect id="1125" o:spid="_x0000_s1027" o:spt="1" style="position:absolute;left:4577;top:52890;height:1123;width:8324;v-text-anchor:middle;" fillcolor="#AD002D" filled="t" stroked="t" coordsize="21600,21600">
              <v:path/>
              <v:fill on="t" focussize="0,0"/>
              <v:stroke weight="2pt" color="#AF7621"/>
              <v:imagedata o:title=""/>
              <o:lock v:ext="edit"/>
              <v:textbox>
                <w:txbxContent>
                  <w:p w14:paraId="35B22591">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14:paraId="1EE285CE">
                    <w:pPr>
                      <w:jc w:val="center"/>
                    </w:pPr>
                  </w:p>
                </w:txbxContent>
              </v:textbox>
            </v:rect>
            <w10:anchorlock/>
          </v:group>
        </w:pict>
      </w:r>
      <w:r>
        <w:rPr>
          <w:rFonts w:hint="eastAsia" w:ascii="仿宋_GB2312" w:hAnsi="宋体" w:eastAsia="仿宋_GB2312"/>
          <w:b/>
          <w:bCs/>
          <w:color w:val="000000"/>
          <w:kern w:val="0"/>
          <w:sz w:val="32"/>
          <w:szCs w:val="32"/>
        </w:rPr>
        <w:t>他交通费用：</w:t>
      </w:r>
      <w:r>
        <w:rPr>
          <w:rFonts w:hint="eastAsia" w:ascii="仿宋_GB2312" w:hAnsi="宋体" w:eastAsia="仿宋_GB2312"/>
          <w:color w:val="000000"/>
          <w:kern w:val="0"/>
          <w:sz w:val="32"/>
          <w:szCs w:val="32"/>
        </w:rPr>
        <w:t>填列单位除公务用车运行维护费以外的其他交通费用。如飞机、船舶等的燃料费、维修费、过桥过路费、保险费、出租车费用、公务交通补贴等。</w:t>
      </w:r>
    </w:p>
    <w:p w14:paraId="13034ED3">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（十四）公务用车购置：</w:t>
      </w:r>
      <w:r>
        <w:rPr>
          <w:rFonts w:hint="eastAsia" w:ascii="仿宋_GB2312" w:hAnsi="宋体" w:eastAsia="仿宋_GB2312"/>
          <w:color w:val="000000"/>
          <w:kern w:val="0"/>
          <w:sz w:val="32"/>
          <w:szCs w:val="32"/>
        </w:rPr>
        <w:t>填列单位公务用车车辆购置支出（含车辆购置税）。</w:t>
      </w:r>
    </w:p>
    <w:p w14:paraId="14B9FA55">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（十五）其他交通工具购置：</w:t>
      </w:r>
      <w:r>
        <w:rPr>
          <w:rFonts w:hint="eastAsia" w:ascii="仿宋_GB2312" w:hAnsi="宋体" w:eastAsia="仿宋_GB2312"/>
          <w:color w:val="000000"/>
          <w:kern w:val="0"/>
          <w:sz w:val="32"/>
          <w:szCs w:val="32"/>
        </w:rPr>
        <w:t>填列单位除公务用车外的其他各类交通工具（如船舶、飞机）购置支出（含车辆购置税）。</w:t>
      </w:r>
    </w:p>
    <w:p w14:paraId="60186A2E">
      <w:pPr>
        <w:widowControl/>
        <w:spacing w:after="0" w:line="560" w:lineRule="exact"/>
        <w:ind w:firstLine="643" w:firstLineChars="200"/>
        <w:rPr>
          <w:rFonts w:ascii="仿宋_GB2312" w:hAnsi="宋体" w:eastAsia="仿宋_GB2312"/>
          <w:color w:val="000000"/>
          <w:kern w:val="0"/>
          <w:sz w:val="32"/>
          <w:szCs w:val="32"/>
        </w:rPr>
      </w:pPr>
      <w:r>
        <w:rPr>
          <w:rFonts w:hint="eastAsia" w:ascii="仿宋_GB2312" w:hAnsi="宋体" w:eastAsia="仿宋_GB2312"/>
          <w:b/>
          <w:bCs/>
          <w:color w:val="000000"/>
          <w:kern w:val="0"/>
          <w:sz w:val="32"/>
          <w:szCs w:val="32"/>
        </w:rPr>
        <w:t>（十六）机关运行经费：</w:t>
      </w:r>
      <w:r>
        <w:rPr>
          <w:rFonts w:hint="eastAsia" w:ascii="仿宋_GB2312" w:hAnsi="宋体" w:eastAsia="仿宋_GB2312"/>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14:paraId="5DE3D021">
      <w:pPr>
        <w:widowControl/>
        <w:spacing w:after="0" w:line="560" w:lineRule="exact"/>
        <w:ind w:firstLine="643" w:firstLineChars="200"/>
        <w:rPr>
          <w:rFonts w:ascii="仿宋_GB2312" w:hAnsi="Cambria" w:eastAsia="仿宋_GB2312" w:cs="ArialUnicodeMS"/>
          <w:kern w:val="0"/>
          <w:sz w:val="32"/>
          <w:szCs w:val="32"/>
        </w:rPr>
        <w:sectPr>
          <w:pgSz w:w="11906" w:h="16838"/>
          <w:pgMar w:top="2098" w:right="1474" w:bottom="1985" w:left="1588" w:header="851" w:footer="992" w:gutter="0"/>
          <w:cols w:space="425" w:num="1"/>
          <w:docGrid w:type="lines" w:linePitch="312" w:charSpace="0"/>
        </w:sectPr>
      </w:pPr>
      <w:r>
        <w:rPr>
          <w:rFonts w:hint="eastAsia" w:ascii="仿宋_GB2312" w:hAnsi="宋体" w:eastAsia="仿宋_GB2312"/>
          <w:b/>
          <w:bCs/>
          <w:color w:val="000000"/>
          <w:kern w:val="0"/>
          <w:sz w:val="32"/>
          <w:szCs w:val="32"/>
        </w:rPr>
        <w:t>（十七）经费形式:</w:t>
      </w:r>
      <w:r>
        <w:rPr>
          <w:rFonts w:hint="eastAsia" w:ascii="仿宋_GB2312" w:hAnsi="宋体" w:eastAsia="仿宋_GB2312"/>
          <w:color w:val="000000"/>
          <w:kern w:val="0"/>
          <w:sz w:val="32"/>
          <w:szCs w:val="32"/>
        </w:rPr>
        <w:t>按照经费来源，</w:t>
      </w:r>
      <w:r>
        <w:rPr>
          <w:rFonts w:hint="eastAsia" w:ascii="仿宋_GB2312" w:hAnsi="Cambria" w:eastAsia="仿宋_GB2312" w:cs="ArialUnicodeMS"/>
          <w:kern w:val="0"/>
          <w:sz w:val="32"/>
          <w:szCs w:val="32"/>
        </w:rPr>
        <w:t>可分为财政拨款、财政性资金基本保证、财政性资金定额或定项补助、财政性资金零补助四类。</w:t>
      </w:r>
    </w:p>
    <w:p w14:paraId="53CAB7BE">
      <w:pPr>
        <w:widowControl/>
        <w:spacing w:after="0" w:line="560" w:lineRule="exact"/>
        <w:ind w:firstLine="640" w:firstLineChars="200"/>
        <w:rPr>
          <w:rFonts w:ascii="仿宋_GB2312" w:hAnsi="Cambria" w:eastAsia="仿宋_GB2312" w:cs="ArialUnicodeMS"/>
          <w:kern w:val="0"/>
          <w:sz w:val="32"/>
          <w:szCs w:val="32"/>
        </w:rPr>
      </w:pPr>
      <w:r>
        <w:rPr>
          <w:rFonts w:ascii="仿宋_GB2312" w:hAnsi="Cambria" w:eastAsia="仿宋_GB2312" w:cs="ArialUnicodeMS"/>
          <w:kern w:val="0"/>
          <w:sz w:val="32"/>
          <w:szCs w:val="32"/>
        </w:rPr>
        <w:drawing>
          <wp:anchor distT="0" distB="0" distL="0" distR="0" simplePos="0" relativeHeight="251662336"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126" name="图片 101"/>
            <wp:cNvGraphicFramePr/>
            <a:graphic xmlns:a="http://schemas.openxmlformats.org/drawingml/2006/main">
              <a:graphicData uri="http://schemas.openxmlformats.org/drawingml/2006/picture">
                <pic:pic xmlns:pic="http://schemas.openxmlformats.org/drawingml/2006/picture">
                  <pic:nvPicPr>
                    <pic:cNvPr id="1126" name="图片 101"/>
                    <pic:cNvPicPr/>
                  </pic:nvPicPr>
                  <pic:blipFill>
                    <a:blip r:embed="rId27" cstate="print"/>
                    <a:srcRect/>
                    <a:stretch>
                      <a:fillRect/>
                    </a:stretch>
                  </pic:blipFill>
                  <pic:spPr>
                    <a:xfrm>
                      <a:off x="0" y="0"/>
                      <a:ext cx="7590155" cy="10735945"/>
                    </a:xfrm>
                    <a:prstGeom prst="rect">
                      <a:avLst/>
                    </a:prstGeom>
                  </pic:spPr>
                </pic:pic>
              </a:graphicData>
            </a:graphic>
          </wp:anchor>
        </w:drawing>
      </w:r>
    </w:p>
    <w:p w14:paraId="0B7A99AC">
      <w:pPr>
        <w:widowControl/>
        <w:spacing w:after="0" w:line="560" w:lineRule="exact"/>
        <w:ind w:firstLine="640" w:firstLineChars="200"/>
        <w:rPr>
          <w:rFonts w:ascii="仿宋_GB2312" w:hAnsi="Cambria" w:eastAsia="仿宋_GB2312" w:cs="ArialUnicodeMS"/>
          <w:kern w:val="0"/>
          <w:sz w:val="32"/>
          <w:szCs w:val="32"/>
        </w:rPr>
      </w:pPr>
    </w:p>
    <w:p w14:paraId="7941BA41">
      <w:pPr>
        <w:widowControl/>
        <w:spacing w:after="0" w:line="560" w:lineRule="exact"/>
        <w:ind w:firstLine="640" w:firstLineChars="200"/>
        <w:rPr>
          <w:rFonts w:ascii="仿宋_GB2312" w:hAnsi="Cambria" w:eastAsia="仿宋_GB2312" w:cs="ArialUnicodeMS"/>
          <w:kern w:val="0"/>
          <w:sz w:val="32"/>
          <w:szCs w:val="32"/>
        </w:rPr>
      </w:pPr>
    </w:p>
    <w:p w14:paraId="6C4AE3A9">
      <w:pPr>
        <w:widowControl/>
        <w:spacing w:after="0" w:line="560" w:lineRule="exact"/>
        <w:ind w:firstLine="640" w:firstLineChars="200"/>
        <w:rPr>
          <w:rFonts w:ascii="仿宋_GB2312" w:hAnsi="Cambria" w:eastAsia="仿宋_GB2312" w:cs="ArialUnicodeMS"/>
          <w:kern w:val="0"/>
          <w:sz w:val="32"/>
          <w:szCs w:val="32"/>
        </w:rPr>
      </w:pPr>
    </w:p>
    <w:p w14:paraId="0825682B">
      <w:pPr>
        <w:widowControl/>
        <w:spacing w:after="0" w:line="560" w:lineRule="exact"/>
        <w:ind w:firstLine="640" w:firstLineChars="200"/>
        <w:rPr>
          <w:rFonts w:ascii="仿宋_GB2312" w:hAnsi="Cambria" w:eastAsia="仿宋_GB2312" w:cs="ArialUnicodeMS"/>
          <w:kern w:val="0"/>
          <w:sz w:val="32"/>
          <w:szCs w:val="32"/>
        </w:rPr>
      </w:pPr>
    </w:p>
    <w:p w14:paraId="10BC85D2">
      <w:pPr>
        <w:widowControl/>
        <w:spacing w:after="0" w:line="240" w:lineRule="auto"/>
        <w:ind w:firstLine="640" w:firstLineChars="200"/>
        <w:rPr>
          <w:rFonts w:ascii="仿宋_GB2312" w:hAnsi="Cambria" w:eastAsia="仿宋_GB2312" w:cs="ArialUnicodeMS"/>
          <w:kern w:val="0"/>
          <w:sz w:val="32"/>
          <w:szCs w:val="32"/>
        </w:rPr>
      </w:pPr>
    </w:p>
    <w:sectPr>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7BE5AEF-D465-4ED9-BBBD-6B35C55C1EA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embedRegular r:id="rId2" w:fontKey="{1E3680FF-5F8A-44A0-90AF-8504DA6689BF}"/>
  </w:font>
  <w:font w:name="楷体">
    <w:panose1 w:val="02010609060101010101"/>
    <w:charset w:val="86"/>
    <w:family w:val="modern"/>
    <w:pitch w:val="default"/>
    <w:sig w:usb0="800002BF" w:usb1="38CF7CFA" w:usb2="00000016" w:usb3="00000000" w:csb0="00040001" w:csb1="00000000"/>
    <w:embedRegular r:id="rId3" w:fontKey="{18CD704A-4ECA-435D-A424-BA513D49B0F5}"/>
  </w:font>
  <w:font w:name="仿宋_GB2312">
    <w:panose1 w:val="02010609030101010101"/>
    <w:charset w:val="86"/>
    <w:family w:val="modern"/>
    <w:pitch w:val="default"/>
    <w:sig w:usb0="00000001" w:usb1="080E0000" w:usb2="00000000" w:usb3="00000000" w:csb0="00040000" w:csb1="00000000"/>
    <w:embedRegular r:id="rId4" w:fontKey="{4C0D595B-70F7-4323-8F93-5F6B84D7840E}"/>
  </w:font>
  <w:font w:name="ArialUnicodeMS">
    <w:altName w:val="Malgun Gothic"/>
    <w:panose1 w:val="00000000000000000000"/>
    <w:charset w:val="81"/>
    <w:family w:val="auto"/>
    <w:pitch w:val="default"/>
    <w:sig w:usb0="00000000" w:usb1="00000000" w:usb2="00000010" w:usb3="00000000" w:csb0="00080001" w:csb1="00000000"/>
    <w:embedRegular r:id="rId5" w:fontKey="{692DBC83-619D-44C8-8ADC-111A87B4E92D}"/>
  </w:font>
  <w:font w:name="MS-UIGothic,Bold">
    <w:altName w:val="Malgun Gothic"/>
    <w:panose1 w:val="00000000000000000000"/>
    <w:charset w:val="81"/>
    <w:family w:val="auto"/>
    <w:pitch w:val="default"/>
    <w:sig w:usb0="00000000" w:usb1="00000000" w:usb2="00000010" w:usb3="00000000" w:csb0="00080000" w:csb1="00000000"/>
    <w:embedRegular r:id="rId6" w:fontKey="{FFCFF78C-27FE-48C5-B52E-22113137219A}"/>
  </w:font>
  <w:font w:name="DengXian-Regular">
    <w:altName w:val="宋体"/>
    <w:panose1 w:val="00000000000000000000"/>
    <w:charset w:val="86"/>
    <w:family w:val="auto"/>
    <w:pitch w:val="default"/>
    <w:sig w:usb0="00000000" w:usb1="00000000" w:usb2="00000010" w:usb3="00000000" w:csb0="00040001" w:csb1="00000000"/>
    <w:embedRegular r:id="rId7" w:fontKey="{11B70E45-4EB1-4F86-901D-B2B459BE9A6C}"/>
  </w:font>
  <w:font w:name="楷体_GB2312">
    <w:panose1 w:val="02010609030101010101"/>
    <w:charset w:val="86"/>
    <w:family w:val="modern"/>
    <w:pitch w:val="default"/>
    <w:sig w:usb0="00000001" w:usb1="080E0000" w:usb2="00000000" w:usb3="00000000" w:csb0="00040000" w:csb1="00000000"/>
    <w:embedRegular r:id="rId8" w:fontKey="{7A638897-A08C-482A-82A5-07550AECB88C}"/>
  </w:font>
  <w:font w:name="DengXian-Bold">
    <w:altName w:val="宋体"/>
    <w:panose1 w:val="00000000000000000000"/>
    <w:charset w:val="86"/>
    <w:family w:val="auto"/>
    <w:pitch w:val="default"/>
    <w:sig w:usb0="00000000" w:usb1="00000000" w:usb2="00000010" w:usb3="00000000" w:csb0="00040001" w:csb1="00000000"/>
    <w:embedRegular r:id="rId9" w:fontKey="{9D064645-5CA4-4717-B2A2-5B3087D37443}"/>
  </w:font>
  <w:font w:name="仿宋">
    <w:panose1 w:val="02010609060101010101"/>
    <w:charset w:val="86"/>
    <w:family w:val="modern"/>
    <w:pitch w:val="default"/>
    <w:sig w:usb0="800002BF" w:usb1="38CF7CFA" w:usb2="00000016" w:usb3="00000000" w:csb0="00040001" w:csb1="00000000"/>
    <w:embedRegular r:id="rId10" w:fontKey="{A37C333D-74FC-400C-AB3A-02A4B2B897CF}"/>
  </w:font>
  <w:font w:name="TimesNewRomanPSMT">
    <w:altName w:val="Arial"/>
    <w:panose1 w:val="00000000000000000000"/>
    <w:charset w:val="00"/>
    <w:family w:val="swiss"/>
    <w:pitch w:val="default"/>
    <w:sig w:usb0="00000000" w:usb1="00000000" w:usb2="00000000" w:usb3="00000000" w:csb0="000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31E6F4">
    <w:pPr>
      <w:pStyle w:val="9"/>
    </w:pPr>
    <w:r>
      <w:pict>
        <v:shape id="_x0000_s2049" o:spid="_x0000_s2049" o:spt="202" type="#_x0000_t202" style="position:absolute;left:0pt;margin-top:0pt;height:144pt;width:144pt;mso-position-horizontal:center;mso-position-horizontal-relative:margin;mso-wrap-style:none;z-index:251682816;mso-width-relative:page;mso-height-relative:page;" filled="f" stroked="f" coordsize="21600,21600">
          <v:path/>
          <v:fill on="f" focussize="0,0"/>
          <v:stroke on="f" joinstyle="miter"/>
          <v:imagedata o:title=""/>
          <o:lock v:ext="edit"/>
          <v:textbox inset="0mm,0mm,0mm,0mm" style="mso-fit-shape-to-text:t;">
            <w:txbxContent>
              <w:p w14:paraId="67FE7EE1">
                <w:pPr>
                  <w:pStyle w:val="9"/>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80" w:lineRule="auto"/>
      </w:pPr>
      <w:r>
        <w:separator/>
      </w:r>
    </w:p>
  </w:footnote>
  <w:footnote w:type="continuationSeparator" w:id="1">
    <w:p>
      <w:pPr>
        <w:spacing w:before="0" w:after="0" w:line="48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WZhOWFkNjBiNzczM2ZkNWJlMmFkMGI2YmI1ZWNmNGIifQ=="/>
  </w:docVars>
  <w:rsids>
    <w:rsidRoot w:val="00CE4458"/>
    <w:rsid w:val="000214FE"/>
    <w:rsid w:val="000A2F81"/>
    <w:rsid w:val="000E0B84"/>
    <w:rsid w:val="000E1480"/>
    <w:rsid w:val="00127365"/>
    <w:rsid w:val="00157300"/>
    <w:rsid w:val="001B2134"/>
    <w:rsid w:val="001B4F40"/>
    <w:rsid w:val="0022043F"/>
    <w:rsid w:val="00274FF3"/>
    <w:rsid w:val="0029021E"/>
    <w:rsid w:val="002D7924"/>
    <w:rsid w:val="00310505"/>
    <w:rsid w:val="00310D95"/>
    <w:rsid w:val="003223D7"/>
    <w:rsid w:val="00337747"/>
    <w:rsid w:val="00394865"/>
    <w:rsid w:val="0045072E"/>
    <w:rsid w:val="00464810"/>
    <w:rsid w:val="00466529"/>
    <w:rsid w:val="004A13B4"/>
    <w:rsid w:val="004C6B23"/>
    <w:rsid w:val="004F3A69"/>
    <w:rsid w:val="00523B4C"/>
    <w:rsid w:val="005D0F3F"/>
    <w:rsid w:val="005D4879"/>
    <w:rsid w:val="00615200"/>
    <w:rsid w:val="00624F84"/>
    <w:rsid w:val="0062752F"/>
    <w:rsid w:val="00635729"/>
    <w:rsid w:val="00675933"/>
    <w:rsid w:val="006812C4"/>
    <w:rsid w:val="0068163B"/>
    <w:rsid w:val="006F6F9C"/>
    <w:rsid w:val="0076621D"/>
    <w:rsid w:val="00775C9E"/>
    <w:rsid w:val="00786A7E"/>
    <w:rsid w:val="007A30EE"/>
    <w:rsid w:val="007D53A3"/>
    <w:rsid w:val="008534C1"/>
    <w:rsid w:val="008E6EDE"/>
    <w:rsid w:val="009122AE"/>
    <w:rsid w:val="00970BF9"/>
    <w:rsid w:val="009B260A"/>
    <w:rsid w:val="00B25B7C"/>
    <w:rsid w:val="00B64674"/>
    <w:rsid w:val="00B73256"/>
    <w:rsid w:val="00BA1E10"/>
    <w:rsid w:val="00BA5DD8"/>
    <w:rsid w:val="00BF5ACD"/>
    <w:rsid w:val="00C16335"/>
    <w:rsid w:val="00CE4458"/>
    <w:rsid w:val="00DC21C1"/>
    <w:rsid w:val="00E67FE8"/>
    <w:rsid w:val="00E82C24"/>
    <w:rsid w:val="00EA5B3D"/>
    <w:rsid w:val="00F138AC"/>
    <w:rsid w:val="00F47429"/>
    <w:rsid w:val="00F77173"/>
    <w:rsid w:val="00F96D10"/>
    <w:rsid w:val="011D2F51"/>
    <w:rsid w:val="016436B0"/>
    <w:rsid w:val="01CC0B5E"/>
    <w:rsid w:val="01D16C26"/>
    <w:rsid w:val="0201047F"/>
    <w:rsid w:val="022319DB"/>
    <w:rsid w:val="02327F01"/>
    <w:rsid w:val="048D3915"/>
    <w:rsid w:val="057D1A41"/>
    <w:rsid w:val="05B4554F"/>
    <w:rsid w:val="05EE02A3"/>
    <w:rsid w:val="065874BB"/>
    <w:rsid w:val="07167A82"/>
    <w:rsid w:val="072331ED"/>
    <w:rsid w:val="072B6F0A"/>
    <w:rsid w:val="076F662F"/>
    <w:rsid w:val="0810598C"/>
    <w:rsid w:val="08BF68E7"/>
    <w:rsid w:val="0A22278B"/>
    <w:rsid w:val="0A79604F"/>
    <w:rsid w:val="0A9139A7"/>
    <w:rsid w:val="0AE7162E"/>
    <w:rsid w:val="0C382FED"/>
    <w:rsid w:val="0C5D65D9"/>
    <w:rsid w:val="0CE66EF9"/>
    <w:rsid w:val="0D0A2454"/>
    <w:rsid w:val="0E7630A5"/>
    <w:rsid w:val="0F435F2B"/>
    <w:rsid w:val="11296325"/>
    <w:rsid w:val="11C35129"/>
    <w:rsid w:val="12DE7DCB"/>
    <w:rsid w:val="139D6FF9"/>
    <w:rsid w:val="14C76595"/>
    <w:rsid w:val="162D2050"/>
    <w:rsid w:val="16C84D07"/>
    <w:rsid w:val="16D143EA"/>
    <w:rsid w:val="16F25D8B"/>
    <w:rsid w:val="16FC4D6F"/>
    <w:rsid w:val="17320A79"/>
    <w:rsid w:val="17513A15"/>
    <w:rsid w:val="1923725E"/>
    <w:rsid w:val="194A503E"/>
    <w:rsid w:val="1A52600B"/>
    <w:rsid w:val="1AD70964"/>
    <w:rsid w:val="1B046619"/>
    <w:rsid w:val="1BA32FCB"/>
    <w:rsid w:val="1BEE16BF"/>
    <w:rsid w:val="1C7B2563"/>
    <w:rsid w:val="1D316BAB"/>
    <w:rsid w:val="1D7107FF"/>
    <w:rsid w:val="1E5769B0"/>
    <w:rsid w:val="1F080740"/>
    <w:rsid w:val="1F095538"/>
    <w:rsid w:val="1F100440"/>
    <w:rsid w:val="1F2F4DE5"/>
    <w:rsid w:val="1F8C408B"/>
    <w:rsid w:val="1FCA2475"/>
    <w:rsid w:val="1FEB293B"/>
    <w:rsid w:val="21144792"/>
    <w:rsid w:val="211B7A1A"/>
    <w:rsid w:val="240501B3"/>
    <w:rsid w:val="25F740C1"/>
    <w:rsid w:val="271410C3"/>
    <w:rsid w:val="27413EBB"/>
    <w:rsid w:val="277462EB"/>
    <w:rsid w:val="2788179B"/>
    <w:rsid w:val="284650CF"/>
    <w:rsid w:val="284C09ED"/>
    <w:rsid w:val="28B86A84"/>
    <w:rsid w:val="292E1239"/>
    <w:rsid w:val="2A653713"/>
    <w:rsid w:val="2B4E0FF1"/>
    <w:rsid w:val="2B65770D"/>
    <w:rsid w:val="2CE53903"/>
    <w:rsid w:val="2D2305C8"/>
    <w:rsid w:val="2D367542"/>
    <w:rsid w:val="2E486FBD"/>
    <w:rsid w:val="2F1C0B07"/>
    <w:rsid w:val="2F5E42BD"/>
    <w:rsid w:val="2FA4163E"/>
    <w:rsid w:val="2FE20714"/>
    <w:rsid w:val="314670ED"/>
    <w:rsid w:val="319515C3"/>
    <w:rsid w:val="330166BB"/>
    <w:rsid w:val="349D0D10"/>
    <w:rsid w:val="3588733E"/>
    <w:rsid w:val="35D61F31"/>
    <w:rsid w:val="3615524B"/>
    <w:rsid w:val="38286846"/>
    <w:rsid w:val="382931F4"/>
    <w:rsid w:val="38387DA0"/>
    <w:rsid w:val="3882345A"/>
    <w:rsid w:val="394B4385"/>
    <w:rsid w:val="3BB43108"/>
    <w:rsid w:val="3C081EC6"/>
    <w:rsid w:val="3C4C1D89"/>
    <w:rsid w:val="3DE06784"/>
    <w:rsid w:val="3E2354AF"/>
    <w:rsid w:val="3E274EB3"/>
    <w:rsid w:val="3E2B0B5F"/>
    <w:rsid w:val="3E2E14DB"/>
    <w:rsid w:val="40893AE3"/>
    <w:rsid w:val="40F8310B"/>
    <w:rsid w:val="428424FE"/>
    <w:rsid w:val="451C52F9"/>
    <w:rsid w:val="4542551B"/>
    <w:rsid w:val="45CB4928"/>
    <w:rsid w:val="463522A8"/>
    <w:rsid w:val="4885491D"/>
    <w:rsid w:val="495961C2"/>
    <w:rsid w:val="499319A1"/>
    <w:rsid w:val="4A2F617D"/>
    <w:rsid w:val="4B131B47"/>
    <w:rsid w:val="4B9F463B"/>
    <w:rsid w:val="4CF62C27"/>
    <w:rsid w:val="4DCB54BF"/>
    <w:rsid w:val="4E14652B"/>
    <w:rsid w:val="4E374505"/>
    <w:rsid w:val="4E407070"/>
    <w:rsid w:val="4E412319"/>
    <w:rsid w:val="4F685DB4"/>
    <w:rsid w:val="4F7024ED"/>
    <w:rsid w:val="4F99459B"/>
    <w:rsid w:val="50C14A8A"/>
    <w:rsid w:val="53D6641D"/>
    <w:rsid w:val="548E1F87"/>
    <w:rsid w:val="551C7EB0"/>
    <w:rsid w:val="559853CC"/>
    <w:rsid w:val="561544F9"/>
    <w:rsid w:val="56167B40"/>
    <w:rsid w:val="565725CD"/>
    <w:rsid w:val="57D6719D"/>
    <w:rsid w:val="598C21F2"/>
    <w:rsid w:val="5A582978"/>
    <w:rsid w:val="5AE00D8D"/>
    <w:rsid w:val="5B1B77D4"/>
    <w:rsid w:val="5BAB6106"/>
    <w:rsid w:val="5C5F1E72"/>
    <w:rsid w:val="5CF92740"/>
    <w:rsid w:val="5D313377"/>
    <w:rsid w:val="5D3E04D8"/>
    <w:rsid w:val="5F477490"/>
    <w:rsid w:val="5F7446FF"/>
    <w:rsid w:val="5FE739A9"/>
    <w:rsid w:val="605668E8"/>
    <w:rsid w:val="6156176C"/>
    <w:rsid w:val="61EE40E1"/>
    <w:rsid w:val="62526B2A"/>
    <w:rsid w:val="6269461D"/>
    <w:rsid w:val="63794996"/>
    <w:rsid w:val="63984463"/>
    <w:rsid w:val="63C211A2"/>
    <w:rsid w:val="64A33C9B"/>
    <w:rsid w:val="64F661F2"/>
    <w:rsid w:val="65C24AB1"/>
    <w:rsid w:val="65C75631"/>
    <w:rsid w:val="66764B9D"/>
    <w:rsid w:val="6718262D"/>
    <w:rsid w:val="68424429"/>
    <w:rsid w:val="69EC2B4C"/>
    <w:rsid w:val="6A053B1C"/>
    <w:rsid w:val="6A2426A7"/>
    <w:rsid w:val="6B4D777A"/>
    <w:rsid w:val="6BC87215"/>
    <w:rsid w:val="6C0E2F92"/>
    <w:rsid w:val="6CB7611E"/>
    <w:rsid w:val="6CE37B56"/>
    <w:rsid w:val="6E8E7B18"/>
    <w:rsid w:val="6F57387B"/>
    <w:rsid w:val="703F39CC"/>
    <w:rsid w:val="7146080E"/>
    <w:rsid w:val="72562C5E"/>
    <w:rsid w:val="72806E2C"/>
    <w:rsid w:val="73143FCB"/>
    <w:rsid w:val="73B02EDF"/>
    <w:rsid w:val="749421F0"/>
    <w:rsid w:val="76405DD4"/>
    <w:rsid w:val="764960C3"/>
    <w:rsid w:val="77B12AF9"/>
    <w:rsid w:val="78846247"/>
    <w:rsid w:val="78F47FCF"/>
    <w:rsid w:val="79F34B21"/>
    <w:rsid w:val="7AC04EE3"/>
    <w:rsid w:val="7BE52621"/>
    <w:rsid w:val="7CCB5729"/>
    <w:rsid w:val="7CD16F16"/>
    <w:rsid w:val="7DC2484A"/>
    <w:rsid w:val="7E254785"/>
    <w:rsid w:val="7ED560C9"/>
    <w:rsid w:val="7F624E23"/>
    <w:rsid w:val="7FB807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1"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48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qFormat/>
    <w:uiPriority w:val="9"/>
    <w:pPr>
      <w:keepNext/>
      <w:keepLines/>
      <w:spacing w:before="260" w:after="260" w:line="416" w:lineRule="auto"/>
      <w:outlineLvl w:val="1"/>
    </w:pPr>
    <w:rPr>
      <w:rFonts w:ascii="Calibri" w:hAnsi="Calibri" w:cs="宋体"/>
      <w:b/>
      <w:bCs/>
      <w:sz w:val="32"/>
      <w:szCs w:val="32"/>
    </w:rPr>
  </w:style>
  <w:style w:type="paragraph" w:styleId="4">
    <w:name w:val="heading 3"/>
    <w:basedOn w:val="1"/>
    <w:next w:val="1"/>
    <w:link w:val="30"/>
    <w:qFormat/>
    <w:uiPriority w:val="9"/>
    <w:pPr>
      <w:keepNext/>
      <w:keepLines/>
      <w:spacing w:before="260" w:after="260" w:line="416" w:lineRule="auto"/>
      <w:outlineLvl w:val="2"/>
    </w:pPr>
    <w:rPr>
      <w:b/>
      <w:bCs/>
      <w:sz w:val="32"/>
      <w:szCs w:val="32"/>
    </w:rPr>
  </w:style>
  <w:style w:type="paragraph" w:styleId="5">
    <w:name w:val="heading 4"/>
    <w:basedOn w:val="1"/>
    <w:next w:val="1"/>
    <w:link w:val="31"/>
    <w:qFormat/>
    <w:uiPriority w:val="9"/>
    <w:pPr>
      <w:keepNext/>
      <w:keepLines/>
      <w:spacing w:before="280" w:after="290" w:line="376" w:lineRule="auto"/>
      <w:outlineLvl w:val="3"/>
    </w:pPr>
    <w:rPr>
      <w:rFonts w:ascii="Calibri" w:hAnsi="Calibri" w:cs="宋体"/>
      <w:b/>
      <w:bCs/>
      <w:sz w:val="28"/>
      <w:szCs w:val="28"/>
    </w:rPr>
  </w:style>
  <w:style w:type="character" w:default="1" w:styleId="15">
    <w:name w:val="Default Paragraph Font"/>
    <w:semiHidden/>
    <w:unhideWhenUsed/>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6">
    <w:name w:val="Plain Text"/>
    <w:basedOn w:val="1"/>
    <w:semiHidden/>
    <w:unhideWhenUsed/>
    <w:qFormat/>
    <w:uiPriority w:val="99"/>
    <w:rPr>
      <w:rFonts w:ascii="宋体" w:hAnsi="Courier New" w:cs="Courier New"/>
    </w:rPr>
  </w:style>
  <w:style w:type="paragraph" w:styleId="7">
    <w:name w:val="Date"/>
    <w:basedOn w:val="1"/>
    <w:next w:val="1"/>
    <w:link w:val="32"/>
    <w:qFormat/>
    <w:uiPriority w:val="99"/>
    <w:pPr>
      <w:ind w:left="100" w:leftChars="2500"/>
    </w:pPr>
  </w:style>
  <w:style w:type="paragraph" w:styleId="8">
    <w:name w:val="Balloon Text"/>
    <w:basedOn w:val="1"/>
    <w:link w:val="20"/>
    <w:qFormat/>
    <w:uiPriority w:val="99"/>
    <w:rPr>
      <w:sz w:val="18"/>
      <w:szCs w:val="18"/>
    </w:rPr>
  </w:style>
  <w:style w:type="paragraph" w:styleId="9">
    <w:name w:val="footer"/>
    <w:basedOn w:val="1"/>
    <w:link w:val="17"/>
    <w:qFormat/>
    <w:uiPriority w:val="99"/>
    <w:pPr>
      <w:tabs>
        <w:tab w:val="center" w:pos="4153"/>
        <w:tab w:val="right" w:pos="8306"/>
      </w:tabs>
      <w:snapToGrid w:val="0"/>
      <w:jc w:val="left"/>
    </w:pPr>
    <w:rPr>
      <w:rFonts w:ascii="Cambria" w:hAnsi="Cambria" w:eastAsia="黑体" w:cs="宋体"/>
      <w:sz w:val="18"/>
      <w:szCs w:val="18"/>
    </w:rPr>
  </w:style>
  <w:style w:type="paragraph" w:styleId="10">
    <w:name w:val="header"/>
    <w:basedOn w:val="1"/>
    <w:link w:val="16"/>
    <w:qFormat/>
    <w:uiPriority w:val="99"/>
    <w:pPr>
      <w:pBdr>
        <w:bottom w:val="single" w:color="auto" w:sz="6" w:space="1"/>
      </w:pBdr>
      <w:tabs>
        <w:tab w:val="center" w:pos="4153"/>
        <w:tab w:val="right" w:pos="8306"/>
      </w:tabs>
      <w:snapToGrid w:val="0"/>
      <w:jc w:val="center"/>
    </w:pPr>
    <w:rPr>
      <w:rFonts w:ascii="Cambria" w:hAnsi="Cambria" w:eastAsia="黑体" w:cs="宋体"/>
      <w:sz w:val="18"/>
      <w:szCs w:val="18"/>
    </w:rPr>
  </w:style>
  <w:style w:type="paragraph" w:styleId="11">
    <w:name w:val="Subtitle"/>
    <w:basedOn w:val="1"/>
    <w:next w:val="1"/>
    <w:link w:val="22"/>
    <w:qFormat/>
    <w:uiPriority w:val="11"/>
    <w:pPr>
      <w:widowControl/>
      <w:spacing w:after="200" w:line="276" w:lineRule="auto"/>
      <w:jc w:val="left"/>
    </w:pPr>
    <w:rPr>
      <w:rFonts w:ascii="Calibri" w:hAnsi="Calibri" w:cs="宋体"/>
      <w:i/>
      <w:iCs/>
      <w:color w:val="F0A22E"/>
      <w:spacing w:val="15"/>
      <w:kern w:val="0"/>
      <w:sz w:val="24"/>
    </w:rPr>
  </w:style>
  <w:style w:type="paragraph" w:styleId="12">
    <w:name w:val="Title"/>
    <w:basedOn w:val="1"/>
    <w:next w:val="1"/>
    <w:link w:val="21"/>
    <w:qFormat/>
    <w:uiPriority w:val="10"/>
    <w:pPr>
      <w:widowControl/>
      <w:pBdr>
        <w:bottom w:val="single" w:color="F0A22E" w:sz="8" w:space="4"/>
      </w:pBdr>
      <w:spacing w:after="300"/>
      <w:contextualSpacing/>
      <w:jc w:val="left"/>
    </w:pPr>
    <w:rPr>
      <w:rFonts w:ascii="Calibri" w:hAnsi="Calibri" w:cs="宋体"/>
      <w:color w:val="3B2C24"/>
      <w:spacing w:val="5"/>
      <w:kern w:val="28"/>
      <w:sz w:val="52"/>
      <w:szCs w:val="52"/>
    </w:rPr>
  </w:style>
  <w:style w:type="table" w:styleId="14">
    <w:name w:val="Table Grid"/>
    <w:basedOn w:val="13"/>
    <w:qFormat/>
    <w:uiPriority w:val="1"/>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6">
    <w:name w:val="页眉 Char"/>
    <w:basedOn w:val="15"/>
    <w:link w:val="10"/>
    <w:qFormat/>
    <w:uiPriority w:val="99"/>
    <w:rPr>
      <w:sz w:val="18"/>
      <w:szCs w:val="18"/>
    </w:rPr>
  </w:style>
  <w:style w:type="character" w:customStyle="1" w:styleId="17">
    <w:name w:val="页脚 Char"/>
    <w:basedOn w:val="15"/>
    <w:link w:val="9"/>
    <w:qFormat/>
    <w:uiPriority w:val="99"/>
    <w:rPr>
      <w:sz w:val="18"/>
      <w:szCs w:val="18"/>
    </w:rPr>
  </w:style>
  <w:style w:type="paragraph" w:styleId="18">
    <w:name w:val="No Spacing"/>
    <w:link w:val="19"/>
    <w:qFormat/>
    <w:uiPriority w:val="1"/>
    <w:pPr>
      <w:spacing w:after="160" w:line="480" w:lineRule="auto"/>
    </w:pPr>
    <w:rPr>
      <w:rFonts w:ascii="Cambria" w:hAnsi="Cambria" w:eastAsia="黑体" w:cs="宋体"/>
      <w:sz w:val="22"/>
      <w:szCs w:val="22"/>
      <w:lang w:val="en-US" w:eastAsia="zh-CN" w:bidi="ar-SA"/>
    </w:rPr>
  </w:style>
  <w:style w:type="character" w:customStyle="1" w:styleId="19">
    <w:name w:val="无间隔 Char"/>
    <w:basedOn w:val="15"/>
    <w:link w:val="18"/>
    <w:qFormat/>
    <w:uiPriority w:val="1"/>
    <w:rPr>
      <w:kern w:val="0"/>
      <w:sz w:val="22"/>
    </w:rPr>
  </w:style>
  <w:style w:type="character" w:customStyle="1" w:styleId="20">
    <w:name w:val="批注框文本 Char"/>
    <w:basedOn w:val="15"/>
    <w:link w:val="8"/>
    <w:qFormat/>
    <w:uiPriority w:val="99"/>
    <w:rPr>
      <w:rFonts w:ascii="Times New Roman" w:hAnsi="Times New Roman" w:eastAsia="宋体" w:cs="Times New Roman"/>
      <w:sz w:val="18"/>
      <w:szCs w:val="18"/>
    </w:rPr>
  </w:style>
  <w:style w:type="character" w:customStyle="1" w:styleId="21">
    <w:name w:val="标题 Char"/>
    <w:basedOn w:val="15"/>
    <w:link w:val="12"/>
    <w:qFormat/>
    <w:uiPriority w:val="10"/>
    <w:rPr>
      <w:rFonts w:ascii="Calibri" w:hAnsi="Calibri" w:eastAsia="宋体" w:cs="宋体"/>
      <w:color w:val="3B2C24"/>
      <w:spacing w:val="5"/>
      <w:kern w:val="28"/>
      <w:sz w:val="52"/>
      <w:szCs w:val="52"/>
    </w:rPr>
  </w:style>
  <w:style w:type="character" w:customStyle="1" w:styleId="22">
    <w:name w:val="副标题 Char"/>
    <w:basedOn w:val="15"/>
    <w:link w:val="11"/>
    <w:qFormat/>
    <w:uiPriority w:val="11"/>
    <w:rPr>
      <w:rFonts w:ascii="Calibri" w:hAnsi="Calibri" w:eastAsia="宋体" w:cs="宋体"/>
      <w:i/>
      <w:iCs/>
      <w:color w:val="F0A22E"/>
      <w:spacing w:val="15"/>
      <w:kern w:val="0"/>
      <w:sz w:val="24"/>
      <w:szCs w:val="24"/>
    </w:rPr>
  </w:style>
  <w:style w:type="character" w:customStyle="1" w:styleId="23">
    <w:name w:val="Style1"/>
    <w:basedOn w:val="15"/>
    <w:qFormat/>
    <w:uiPriority w:val="1"/>
    <w:rPr>
      <w:rFonts w:ascii="Cambria" w:hAnsi="黑体" w:eastAsia="黑体" w:cs="宋体"/>
      <w:sz w:val="22"/>
      <w:szCs w:val="22"/>
      <w:lang w:eastAsia="zh-CN"/>
    </w:rPr>
  </w:style>
  <w:style w:type="character" w:customStyle="1" w:styleId="24">
    <w:name w:val="Style2"/>
    <w:basedOn w:val="15"/>
    <w:qFormat/>
    <w:uiPriority w:val="1"/>
    <w:rPr>
      <w:rFonts w:ascii="Cambria" w:hAnsi="黑体" w:eastAsia="黑体" w:cs="宋体"/>
      <w:sz w:val="22"/>
      <w:szCs w:val="22"/>
      <w:lang w:eastAsia="zh-CN"/>
    </w:rPr>
  </w:style>
  <w:style w:type="character" w:customStyle="1" w:styleId="25">
    <w:name w:val="Style3"/>
    <w:basedOn w:val="15"/>
    <w:qFormat/>
    <w:uiPriority w:val="1"/>
    <w:rPr>
      <w:rFonts w:ascii="Cambria" w:hAnsi="黑体" w:eastAsia="黑体" w:cs="宋体"/>
      <w:szCs w:val="22"/>
      <w:lang w:eastAsia="zh-CN"/>
    </w:rPr>
  </w:style>
  <w:style w:type="character" w:customStyle="1" w:styleId="26">
    <w:name w:val="Style4"/>
    <w:basedOn w:val="15"/>
    <w:qFormat/>
    <w:uiPriority w:val="1"/>
    <w:rPr>
      <w:rFonts w:ascii="Cambria" w:hAnsi="黑体" w:eastAsia="黑体" w:cs="宋体"/>
      <w:szCs w:val="22"/>
      <w:lang w:eastAsia="zh-CN"/>
    </w:rPr>
  </w:style>
  <w:style w:type="character" w:customStyle="1" w:styleId="27">
    <w:name w:val="Style5"/>
    <w:basedOn w:val="15"/>
    <w:qFormat/>
    <w:uiPriority w:val="1"/>
    <w:rPr>
      <w:rFonts w:ascii="Cambria" w:hAnsi="黑体" w:eastAsia="黑体" w:cs="宋体"/>
      <w:sz w:val="22"/>
      <w:szCs w:val="22"/>
      <w:lang w:eastAsia="zh-CN"/>
    </w:rPr>
  </w:style>
  <w:style w:type="character" w:customStyle="1" w:styleId="28">
    <w:name w:val="标题 1 Char"/>
    <w:basedOn w:val="15"/>
    <w:link w:val="2"/>
    <w:qFormat/>
    <w:uiPriority w:val="9"/>
    <w:rPr>
      <w:rFonts w:ascii="Times New Roman" w:hAnsi="Times New Roman" w:eastAsia="宋体" w:cs="Times New Roman"/>
      <w:b/>
      <w:bCs/>
      <w:kern w:val="44"/>
      <w:sz w:val="44"/>
      <w:szCs w:val="44"/>
    </w:rPr>
  </w:style>
  <w:style w:type="character" w:customStyle="1" w:styleId="29">
    <w:name w:val="标题 2 Char"/>
    <w:basedOn w:val="15"/>
    <w:link w:val="3"/>
    <w:qFormat/>
    <w:uiPriority w:val="9"/>
    <w:rPr>
      <w:rFonts w:ascii="Calibri" w:hAnsi="Calibri" w:eastAsia="宋体" w:cs="宋体"/>
      <w:b/>
      <w:bCs/>
      <w:sz w:val="32"/>
      <w:szCs w:val="32"/>
    </w:rPr>
  </w:style>
  <w:style w:type="character" w:customStyle="1" w:styleId="30">
    <w:name w:val="标题 3 Char"/>
    <w:basedOn w:val="15"/>
    <w:link w:val="4"/>
    <w:qFormat/>
    <w:uiPriority w:val="9"/>
    <w:rPr>
      <w:rFonts w:ascii="Times New Roman" w:hAnsi="Times New Roman" w:eastAsia="宋体" w:cs="Times New Roman"/>
      <w:b/>
      <w:bCs/>
      <w:sz w:val="32"/>
      <w:szCs w:val="32"/>
    </w:rPr>
  </w:style>
  <w:style w:type="character" w:customStyle="1" w:styleId="31">
    <w:name w:val="标题 4 Char"/>
    <w:basedOn w:val="15"/>
    <w:link w:val="5"/>
    <w:qFormat/>
    <w:uiPriority w:val="9"/>
    <w:rPr>
      <w:rFonts w:ascii="Calibri" w:hAnsi="Calibri" w:eastAsia="宋体" w:cs="宋体"/>
      <w:b/>
      <w:bCs/>
      <w:sz w:val="28"/>
      <w:szCs w:val="28"/>
    </w:rPr>
  </w:style>
  <w:style w:type="character" w:customStyle="1" w:styleId="32">
    <w:name w:val="日期 Char"/>
    <w:basedOn w:val="15"/>
    <w:link w:val="7"/>
    <w:qFormat/>
    <w:uiPriority w:val="99"/>
    <w:rPr>
      <w:rFonts w:ascii="Times New Roman" w:hAnsi="Times New Roman" w:eastAsia="宋体" w:cs="Times New Roman"/>
      <w:szCs w:val="24"/>
    </w:rPr>
  </w:style>
  <w:style w:type="paragraph" w:styleId="33">
    <w:name w:val="List Paragraph"/>
    <w:basedOn w:val="1"/>
    <w:qFormat/>
    <w:uiPriority w:val="99"/>
    <w:pPr>
      <w:spacing w:after="0" w:line="240" w:lineRule="auto"/>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2" Type="http://schemas.openxmlformats.org/officeDocument/2006/relationships/fontTable" Target="fontTable.xml"/><Relationship Id="rId31" Type="http://schemas.openxmlformats.org/officeDocument/2006/relationships/customXml" Target="../customXml/item3.xml"/><Relationship Id="rId30" Type="http://schemas.openxmlformats.org/officeDocument/2006/relationships/customXml" Target="../customXml/item2.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8.jpeg"/><Relationship Id="rId26" Type="http://schemas.openxmlformats.org/officeDocument/2006/relationships/chart" Target="charts/chart3.xml"/><Relationship Id="rId25" Type="http://schemas.openxmlformats.org/officeDocument/2006/relationships/chart" Target="charts/chart2.xml"/><Relationship Id="rId24" Type="http://schemas.openxmlformats.org/officeDocument/2006/relationships/image" Target="media/image17.png"/><Relationship Id="rId23" Type="http://schemas.openxmlformats.org/officeDocument/2006/relationships/chart" Target="charts/chart1.xml"/><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18&#24180;&#20915;&#31639;&#20844;&#24320;&#22270;&#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18&#24180;&#20915;&#31639;&#20844;&#24320;&#22270;&#349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18&#24180;&#20915;&#31639;&#20844;&#24320;&#22270;&#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[2018年决算公开图表.xlsx]Sheet3!$A$3</c:f>
              <c:strCache>
                <c:ptCount val="1"/>
                <c:pt idx="0">
                  <c:v>金额</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zh-CN" altLang="en-US"/>
                      <a:t> 基本支出</a:t>
                    </a:r>
                    <a:r>
                      <a:rPr lang="en-US" altLang="zh-CN"/>
                      <a:t>, 625.48,     3.74%</a:t>
                    </a:r>
                    <a:endParaRPr lang="en-US" altLang="zh-CN"/>
                  </a:p>
                </c:rich>
              </c:tx>
              <c:dLblPos val="bestFit"/>
              <c:showLegendKey val="0"/>
              <c:showVal val="1"/>
              <c:showCatName val="1"/>
              <c:showSerName val="0"/>
              <c:showPercent val="1"/>
              <c:showBubbleSize val="0"/>
              <c:extLst>
                <c:ext xmlns:c15="http://schemas.microsoft.com/office/drawing/2012/chart" uri="{CE6537A1-D6FC-4f65-9D91-7224C49458BB}"/>
              </c:extLst>
            </c:dLbl>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[2018年决算公开图表.xlsx]Sheet3!$B$1:$C$2</c:f>
              <c:multiLvlStrCache>
                <c:ptCount val="2"/>
                <c:lvl>
                  <c:pt idx="0">
                    <c:v>基本支出</c:v>
                  </c:pt>
                  <c:pt idx="1">
                    <c:v>项目支出</c:v>
                  </c:pt>
                </c:lvl>
                <c:lvl/>
              </c:multiLvlStrCache>
            </c:multiLvlStrRef>
          </c:cat>
          <c:val>
            <c:numRef>
              <c:f>[2018年决算公开图表.xlsx]Sheet3!$B$3:$C$3</c:f>
              <c:numCache>
                <c:formatCode>General</c:formatCode>
                <c:ptCount val="2"/>
                <c:pt idx="0">
                  <c:v>625.48</c:v>
                </c:pt>
                <c:pt idx="1">
                  <c:v>16093.04</c:v>
                </c:pt>
              </c:numCache>
            </c:numRef>
          </c:val>
        </c:ser>
        <c:ser>
          <c:idx val="1"/>
          <c:order val="1"/>
          <c:tx>
            <c:strRef>
              <c:f>[2018年决算公开图表.xlsx]Sheet3!$A$4</c:f>
              <c:strCache>
                <c:ptCount val="1"/>
                <c:pt idx="0">
                  <c:v>占比</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[2018年决算公开图表.xlsx]Sheet3!$B$1:$C$2</c:f>
              <c:multiLvlStrCache>
                <c:ptCount val="2"/>
                <c:lvl>
                  <c:pt idx="0">
                    <c:v>基本支出</c:v>
                  </c:pt>
                  <c:pt idx="1">
                    <c:v>项目支出</c:v>
                  </c:pt>
                </c:lvl>
                <c:lvl/>
              </c:multiLvlStrCache>
            </c:multiLvlStrRef>
          </c:cat>
          <c:val>
            <c:numRef>
              <c:f>[2018年决算公开图表.xlsx]Sheet3!$B$4:$C$4</c:f>
              <c:numCache>
                <c:formatCode>0.00%</c:formatCode>
                <c:ptCount val="2"/>
                <c:pt idx="0">
                  <c:v>0.0374124025332386</c:v>
                </c:pt>
                <c:pt idx="1">
                  <c:v>0.962587597466761</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362152777777778"/>
          <c:y val="0.915509259259259"/>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2017-2018</a:t>
            </a:r>
            <a:r>
              <a:rPr lang="zh-CN" altLang="en-US"/>
              <a:t>年财政拨款收支情况</a:t>
            </a:r>
            <a:endParaRPr lang="zh-CN" altLang="en-US"/>
          </a:p>
        </c:rich>
      </c:tx>
      <c:layout>
        <c:manualLayout>
          <c:xMode val="edge"/>
          <c:yMode val="edge"/>
          <c:x val="0.198669201520913"/>
          <c:y val="0.00855188141391106"/>
        </c:manualLayout>
      </c:layout>
      <c:overlay val="0"/>
      <c:spPr>
        <a:noFill/>
        <a:ln>
          <a:noFill/>
        </a:ln>
        <a:effectLst/>
      </c:spPr>
    </c:title>
    <c:autoTitleDeleted val="0"/>
    <c:plotArea>
      <c:layout/>
      <c:barChart>
        <c:barDir val="col"/>
        <c:grouping val="clustered"/>
        <c:varyColors val="0"/>
        <c:ser>
          <c:idx val="0"/>
          <c:order val="0"/>
          <c:tx>
            <c:strRef>
              <c:f>[2018年决算公开图表.xlsx]支出表!$A$3</c:f>
              <c:strCache>
                <c:ptCount val="1"/>
                <c:pt idx="0">
                  <c:v>2018年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[2018年决算公开图表.xlsx]支出表!$B$1:$C$2</c:f>
              <c:multiLvlStrCache>
                <c:ptCount val="2"/>
                <c:lvl>
                  <c:pt idx="0">
                    <c:v>收入</c:v>
                  </c:pt>
                  <c:pt idx="1">
                    <c:v>支出</c:v>
                  </c:pt>
                </c:lvl>
                <c:lvl/>
              </c:multiLvlStrCache>
            </c:multiLvlStrRef>
          </c:cat>
          <c:val>
            <c:numRef>
              <c:f>[2018年决算公开图表.xlsx]支出表!$B$3:$C$3</c:f>
              <c:numCache>
                <c:formatCode>General</c:formatCode>
                <c:ptCount val="2"/>
                <c:pt idx="0">
                  <c:v>24357.62</c:v>
                </c:pt>
                <c:pt idx="1">
                  <c:v>16718.53</c:v>
                </c:pt>
              </c:numCache>
            </c:numRef>
          </c:val>
        </c:ser>
        <c:ser>
          <c:idx val="1"/>
          <c:order val="1"/>
          <c:tx>
            <c:strRef>
              <c:f>[2018年决算公开图表.xlsx]支出表!$A$4</c:f>
              <c:strCache>
                <c:ptCount val="1"/>
                <c:pt idx="0">
                  <c:v>2017年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[2018年决算公开图表.xlsx]支出表!$B$1:$C$2</c:f>
              <c:multiLvlStrCache>
                <c:ptCount val="2"/>
                <c:lvl>
                  <c:pt idx="0">
                    <c:v>收入</c:v>
                  </c:pt>
                  <c:pt idx="1">
                    <c:v>支出</c:v>
                  </c:pt>
                </c:lvl>
                <c:lvl/>
              </c:multiLvlStrCache>
            </c:multiLvlStrRef>
          </c:cat>
          <c:val>
            <c:numRef>
              <c:f>[2018年决算公开图表.xlsx]支出表!$B$4:$C$4</c:f>
              <c:numCache>
                <c:formatCode>General</c:formatCode>
                <c:ptCount val="2"/>
                <c:pt idx="0">
                  <c:v>13942.61</c:v>
                </c:pt>
                <c:pt idx="1">
                  <c:v>13942.61</c:v>
                </c:pt>
              </c:numCache>
            </c:numRef>
          </c:val>
        </c:ser>
        <c:dLbls>
          <c:showLegendKey val="0"/>
          <c:showVal val="1"/>
          <c:showCatName val="0"/>
          <c:showSerName val="0"/>
          <c:showPercent val="0"/>
          <c:showBubbleSize val="0"/>
        </c:dLbls>
        <c:gapWidth val="219"/>
        <c:overlap val="-27"/>
        <c:axId val="197620480"/>
        <c:axId val="197622016"/>
      </c:barChart>
      <c:catAx>
        <c:axId val="197620480"/>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7622016"/>
        <c:crosses val="autoZero"/>
        <c:auto val="1"/>
        <c:lblAlgn val="ctr"/>
        <c:lblOffset val="100"/>
        <c:noMultiLvlLbl val="0"/>
      </c:catAx>
      <c:valAx>
        <c:axId val="19762201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97620480"/>
        <c:crosses val="autoZero"/>
        <c:crossBetween val="between"/>
      </c:valAx>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1"/>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multiLvlStrRef>
              <c:f>[2018年决算公开图表.xlsx]Sheet1!$A$1:$D$3</c:f>
              <c:multiLvlStrCache>
                <c:ptCount val="4"/>
                <c:lvl>
                  <c:pt idx="0">
                    <c:v>预算数</c:v>
                  </c:pt>
                  <c:pt idx="1">
                    <c:v>决算数</c:v>
                  </c:pt>
                  <c:pt idx="2">
                    <c:v>预算数</c:v>
                  </c:pt>
                  <c:pt idx="3">
                    <c:v>决算数</c:v>
                  </c:pt>
                </c:lvl>
                <c:lvl>
                  <c:pt idx="0">
                    <c:v>收入</c:v>
                  </c:pt>
                  <c:pt idx="2">
                    <c:v>支出</c:v>
                  </c:pt>
                </c:lvl>
                <c:lvl>
                  <c:pt idx="0">
                    <c:v>2018年财政拨款收支与年初预算对比情况</c:v>
                  </c:pt>
                </c:lvl>
              </c:multiLvlStrCache>
            </c:multiLvlStrRef>
          </c:cat>
          <c:val>
            <c:numRef>
              <c:f>[2018年决算公开图表.xlsx]Sheet1!$A$4:$D$4</c:f>
              <c:numCache>
                <c:formatCode>General</c:formatCode>
                <c:ptCount val="4"/>
                <c:pt idx="0">
                  <c:v>5414.25</c:v>
                </c:pt>
                <c:pt idx="1">
                  <c:v>24357.62</c:v>
                </c:pt>
                <c:pt idx="2">
                  <c:v>5414.25</c:v>
                </c:pt>
                <c:pt idx="3">
                  <c:v>16718.53</c:v>
                </c:pt>
              </c:numCache>
            </c:numRef>
          </c:val>
        </c:ser>
        <c:dLbls>
          <c:showLegendKey val="0"/>
          <c:showVal val="1"/>
          <c:showCatName val="0"/>
          <c:showSerName val="0"/>
          <c:showPercent val="0"/>
          <c:showBubbleSize val="0"/>
        </c:dLbls>
        <c:gapWidth val="219"/>
        <c:overlap val="-27"/>
        <c:axId val="226626944"/>
        <c:axId val="380139008"/>
      </c:barChart>
      <c:catAx>
        <c:axId val="22662694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380139008"/>
        <c:crosses val="autoZero"/>
        <c:auto val="1"/>
        <c:lblAlgn val="ctr"/>
        <c:lblOffset val="100"/>
        <c:noMultiLvlLbl val="0"/>
      </c:catAx>
      <c:valAx>
        <c:axId val="38013900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2662694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49"/>
    <customShpInfo spid="_x0000_s1120"/>
    <customShpInfo spid="_x0000_s1122"/>
    <customShpInfo spid="_x0000_s1123"/>
    <customShpInfo spid="_x0000_s1121"/>
    <customShpInfo spid="_x0000_s1173"/>
    <customShpInfo spid="_x0000_s1174"/>
    <customShpInfo spid="_x0000_s1172"/>
    <customShpInfo spid="_x0000_s1167"/>
    <customShpInfo spid="_x0000_s1168"/>
    <customShpInfo spid="_x0000_s1166"/>
    <customShpInfo spid="_x0000_s1119"/>
    <customShpInfo spid="_x0000_s1118"/>
    <customShpInfo spid="_x0000_s1117"/>
    <customShpInfo spid="_x0000_s1116"/>
    <customShpInfo spid="_x0000_s1115"/>
    <customShpInfo spid="_x0000_s1114"/>
    <customShpInfo spid="_x0000_s1175"/>
    <customShpInfo spid="_x0000_s1113"/>
    <customShpInfo spid="_x0000_s1112"/>
    <customShpInfo spid="_x0000_s1111"/>
    <customShpInfo spid="_x0000_s1110"/>
    <customShpInfo spid="_x0000_s1109"/>
    <customShpInfo spid="_x0000_s1177"/>
    <customShpInfo spid="_x0000_s1078"/>
    <customShpInfo spid="_x0000_s1074"/>
    <customShpInfo spid="_x0000_s1073"/>
    <customShpInfo spid="_x0000_s1072"/>
    <customShpInfo spid="_x0000_s1068"/>
    <customShpInfo spid="_x0000_s1067"/>
    <customShpInfo spid="_x0000_s1066"/>
    <customShpInfo spid="_x0000_s1065"/>
    <customShpInfo spid="_x0000_s1064"/>
    <customShpInfo spid="_x0000_s1063"/>
    <customShpInfo spid="_x0000_s1053"/>
    <customShpInfo spid="_x0000_s1052"/>
    <customShpInfo spid="_x0000_s1051"/>
    <customShpInfo spid="_x0000_s1050"/>
    <customShpInfo spid="_x0000_s1049"/>
    <customShpInfo spid="_x0000_s1048"/>
    <customShpInfo spid="_x0000_s1047"/>
    <customShpInfo spid="_x0000_s1046"/>
    <customShpInfo spid="_x0000_s1045"/>
    <customShpInfo spid="_x0000_s1044"/>
    <customShpInfo spid="_x0000_s1043"/>
    <customShpInfo spid="_x0000_s1042"/>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overPageProperties xmlns="http://schemas.microsoft.com/office/2006/coverPageProps">
  <PublishDate>2017</PublishDate>
  <Abstract/>
  <CompanyAddress/>
  <CompanyPhone/>
  <CompanyFax/>
  <CompanyEmail/>
</CoverPage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1FA511-011C-4F52-824A-E80EE89AD64C}">
  <ds:schemaRefs/>
</ds:datastoreItem>
</file>

<file path=customXml/itemProps3.xml><?xml version="1.0" encoding="utf-8"?>
<ds:datastoreItem xmlns:ds="http://schemas.openxmlformats.org/officeDocument/2006/customXml" ds:itemID="{55AF091B-3C7A-41E3-B477-F2FDAA23CFD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5984</Words>
  <Characters>6646</Characters>
  <Lines>49</Lines>
  <Paragraphs>13</Paragraphs>
  <TotalTime>48</TotalTime>
  <ScaleCrop>false</ScaleCrop>
  <LinksUpToDate>false</LinksUpToDate>
  <CharactersWithSpaces>6664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2018-08-29T08:38:00Z</dcterms:created>
  <dc:creator>User</dc:creator>
  <cp:lastModifiedBy>WPS_1644983477</cp:lastModifiedBy>
  <cp:lastPrinted>2019-08-02T07:39:00Z</cp:lastPrinted>
  <dcterms:modified xsi:type="dcterms:W3CDTF">2024-09-06T08:56:11Z</dcterms:modified>
  <dc:subject>石家庄市xxx部门</dc:subject>
  <dc:title>2017年度部门决算</dc:title>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D2B1C3BADF664BA387E60CB0C51D063B</vt:lpwstr>
  </property>
</Properties>
</file>